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99E" w:rsidRDefault="00B3599E">
      <w:pPr>
        <w:rPr>
          <w:b/>
          <w:sz w:val="28"/>
        </w:rPr>
      </w:pPr>
    </w:p>
    <w:p w:rsidR="00B3599E" w:rsidRDefault="00B3599E">
      <w:pPr>
        <w:rPr>
          <w:b/>
          <w:sz w:val="28"/>
        </w:rPr>
      </w:pPr>
    </w:p>
    <w:p w:rsidR="0064254D" w:rsidRDefault="0064254D">
      <w:pPr>
        <w:rPr>
          <w:b/>
          <w:sz w:val="28"/>
        </w:rPr>
      </w:pPr>
    </w:p>
    <w:p w:rsidR="0064254D" w:rsidRDefault="0064254D">
      <w:pPr>
        <w:rPr>
          <w:b/>
          <w:sz w:val="28"/>
        </w:rPr>
      </w:pPr>
    </w:p>
    <w:p w:rsidR="0064254D" w:rsidRDefault="0064254D">
      <w:pPr>
        <w:rPr>
          <w:b/>
          <w:sz w:val="28"/>
        </w:rPr>
      </w:pPr>
    </w:p>
    <w:p w:rsidR="0064254D" w:rsidRPr="0064254D" w:rsidRDefault="0064254D" w:rsidP="0064254D">
      <w:pPr>
        <w:jc w:val="center"/>
        <w:rPr>
          <w:b/>
          <w:sz w:val="56"/>
        </w:rPr>
      </w:pPr>
      <w:r w:rsidRPr="0064254D">
        <w:rPr>
          <w:b/>
          <w:sz w:val="56"/>
        </w:rPr>
        <w:t xml:space="preserve">Guidelines for </w:t>
      </w:r>
    </w:p>
    <w:p w:rsidR="0064254D" w:rsidRPr="0064254D" w:rsidRDefault="0064254D" w:rsidP="006C79DB">
      <w:pPr>
        <w:jc w:val="center"/>
        <w:rPr>
          <w:b/>
          <w:sz w:val="56"/>
        </w:rPr>
      </w:pPr>
      <w:r w:rsidRPr="0064254D">
        <w:rPr>
          <w:b/>
          <w:sz w:val="56"/>
        </w:rPr>
        <w:t xml:space="preserve">Healthy Roscommon </w:t>
      </w:r>
      <w:r w:rsidR="006C79DB">
        <w:rPr>
          <w:b/>
          <w:sz w:val="56"/>
        </w:rPr>
        <w:t>Small Grant Scheme 2025</w:t>
      </w:r>
    </w:p>
    <w:p w:rsidR="0064254D" w:rsidRDefault="0064254D">
      <w:pPr>
        <w:rPr>
          <w:b/>
          <w:sz w:val="28"/>
        </w:rPr>
      </w:pPr>
    </w:p>
    <w:p w:rsidR="0064254D" w:rsidRDefault="0064254D">
      <w:pPr>
        <w:rPr>
          <w:b/>
          <w:sz w:val="28"/>
        </w:rPr>
      </w:pPr>
    </w:p>
    <w:p w:rsidR="0064254D" w:rsidRDefault="0064254D">
      <w:pPr>
        <w:rPr>
          <w:b/>
          <w:sz w:val="28"/>
        </w:rPr>
      </w:pPr>
    </w:p>
    <w:p w:rsidR="0064254D" w:rsidRDefault="0064254D">
      <w:pPr>
        <w:rPr>
          <w:b/>
          <w:sz w:val="28"/>
        </w:rPr>
      </w:pPr>
    </w:p>
    <w:p w:rsidR="0064254D" w:rsidRDefault="0064254D">
      <w:pPr>
        <w:rPr>
          <w:b/>
          <w:sz w:val="28"/>
        </w:rPr>
      </w:pPr>
    </w:p>
    <w:p w:rsidR="0064254D" w:rsidRDefault="0064254D">
      <w:pPr>
        <w:rPr>
          <w:b/>
          <w:sz w:val="28"/>
        </w:rPr>
      </w:pPr>
    </w:p>
    <w:p w:rsidR="0064254D" w:rsidRDefault="0064254D">
      <w:pPr>
        <w:rPr>
          <w:b/>
          <w:sz w:val="28"/>
        </w:rPr>
      </w:pPr>
    </w:p>
    <w:p w:rsidR="0064254D" w:rsidRDefault="0064254D">
      <w:pPr>
        <w:rPr>
          <w:b/>
          <w:sz w:val="28"/>
        </w:rPr>
      </w:pPr>
    </w:p>
    <w:p w:rsidR="0064254D" w:rsidRDefault="0064254D">
      <w:pPr>
        <w:rPr>
          <w:b/>
          <w:sz w:val="28"/>
        </w:rPr>
      </w:pPr>
    </w:p>
    <w:p w:rsidR="0064254D" w:rsidRDefault="0064254D">
      <w:pPr>
        <w:rPr>
          <w:b/>
          <w:sz w:val="28"/>
        </w:rPr>
      </w:pPr>
    </w:p>
    <w:p w:rsidR="0064254D" w:rsidRDefault="0064254D">
      <w:pPr>
        <w:rPr>
          <w:b/>
          <w:sz w:val="28"/>
        </w:rPr>
      </w:pPr>
    </w:p>
    <w:p w:rsidR="0064254D" w:rsidRDefault="0064254D">
      <w:pPr>
        <w:rPr>
          <w:b/>
          <w:sz w:val="28"/>
        </w:rPr>
      </w:pPr>
    </w:p>
    <w:p w:rsidR="00B3599E" w:rsidRDefault="00B3599E">
      <w:pPr>
        <w:rPr>
          <w:b/>
          <w:sz w:val="28"/>
        </w:rPr>
      </w:pPr>
    </w:p>
    <w:p w:rsidR="008D6072" w:rsidRPr="0064254D" w:rsidRDefault="008D6072">
      <w:pPr>
        <w:rPr>
          <w:b/>
          <w:sz w:val="24"/>
          <w:szCs w:val="24"/>
        </w:rPr>
      </w:pPr>
      <w:r w:rsidRPr="0064254D">
        <w:rPr>
          <w:b/>
          <w:sz w:val="24"/>
          <w:szCs w:val="24"/>
        </w:rPr>
        <w:lastRenderedPageBreak/>
        <w:t>Introduction</w:t>
      </w:r>
    </w:p>
    <w:p w:rsidR="006A3828" w:rsidRPr="0064254D" w:rsidRDefault="008D6072" w:rsidP="008D6072">
      <w:pPr>
        <w:rPr>
          <w:sz w:val="24"/>
          <w:szCs w:val="24"/>
        </w:rPr>
      </w:pPr>
      <w:r w:rsidRPr="0064254D">
        <w:rPr>
          <w:sz w:val="24"/>
          <w:szCs w:val="24"/>
        </w:rPr>
        <w:t xml:space="preserve">The </w:t>
      </w:r>
      <w:r w:rsidR="00154FEA" w:rsidRPr="0064254D">
        <w:rPr>
          <w:sz w:val="24"/>
          <w:szCs w:val="24"/>
        </w:rPr>
        <w:t xml:space="preserve">Healthy Roscommon </w:t>
      </w:r>
      <w:r w:rsidR="006C79DB">
        <w:rPr>
          <w:sz w:val="24"/>
          <w:szCs w:val="24"/>
        </w:rPr>
        <w:t>Small Grant Scheme</w:t>
      </w:r>
      <w:r w:rsidRPr="0064254D">
        <w:rPr>
          <w:sz w:val="24"/>
          <w:szCs w:val="24"/>
        </w:rPr>
        <w:t xml:space="preserve"> supports community and voluntary groups wishing to undertake specific 'Health and Wellbeing' projects. The purpose of the </w:t>
      </w:r>
      <w:r w:rsidR="000119F4" w:rsidRPr="0064254D">
        <w:rPr>
          <w:sz w:val="24"/>
          <w:szCs w:val="24"/>
        </w:rPr>
        <w:t xml:space="preserve">Healthy Roscommon </w:t>
      </w:r>
      <w:r w:rsidR="006C79DB">
        <w:rPr>
          <w:sz w:val="24"/>
          <w:szCs w:val="24"/>
        </w:rPr>
        <w:t>Small Grant Scheme</w:t>
      </w:r>
      <w:r w:rsidRPr="0064254D">
        <w:rPr>
          <w:sz w:val="24"/>
          <w:szCs w:val="24"/>
        </w:rPr>
        <w:t xml:space="preserve"> is to encourage and support community and voluntary groups to take an active part in improving</w:t>
      </w:r>
      <w:r w:rsidR="006C79DB">
        <w:rPr>
          <w:sz w:val="24"/>
          <w:szCs w:val="24"/>
        </w:rPr>
        <w:t xml:space="preserve"> physical activity levels</w:t>
      </w:r>
      <w:r w:rsidRPr="0064254D">
        <w:rPr>
          <w:sz w:val="24"/>
          <w:szCs w:val="24"/>
        </w:rPr>
        <w:t xml:space="preserve"> and protecting </w:t>
      </w:r>
      <w:r w:rsidR="00B562C2" w:rsidRPr="0064254D">
        <w:rPr>
          <w:sz w:val="24"/>
          <w:szCs w:val="24"/>
        </w:rPr>
        <w:t xml:space="preserve">mental </w:t>
      </w:r>
      <w:r w:rsidRPr="0064254D">
        <w:rPr>
          <w:sz w:val="24"/>
          <w:szCs w:val="24"/>
        </w:rPr>
        <w:t xml:space="preserve">health and wellbeing at all stages of life, reducing health inequalities, and creating an environment where everyone can play their part in a healthier </w:t>
      </w:r>
      <w:r w:rsidR="006A3828" w:rsidRPr="0064254D">
        <w:rPr>
          <w:sz w:val="24"/>
          <w:szCs w:val="24"/>
        </w:rPr>
        <w:t>Roscommon</w:t>
      </w:r>
      <w:r w:rsidRPr="0064254D">
        <w:rPr>
          <w:sz w:val="24"/>
          <w:szCs w:val="24"/>
        </w:rPr>
        <w:t>.</w:t>
      </w:r>
    </w:p>
    <w:p w:rsidR="0064254D" w:rsidRPr="0064254D" w:rsidRDefault="0064254D" w:rsidP="008D6072">
      <w:pPr>
        <w:rPr>
          <w:b/>
          <w:sz w:val="24"/>
          <w:szCs w:val="24"/>
        </w:rPr>
      </w:pPr>
    </w:p>
    <w:p w:rsidR="006A3828" w:rsidRPr="0064254D" w:rsidRDefault="006A3828" w:rsidP="008D6072">
      <w:pPr>
        <w:rPr>
          <w:b/>
          <w:sz w:val="24"/>
          <w:szCs w:val="24"/>
        </w:rPr>
      </w:pPr>
      <w:r w:rsidRPr="0064254D">
        <w:rPr>
          <w:b/>
          <w:sz w:val="24"/>
          <w:szCs w:val="24"/>
        </w:rPr>
        <w:t xml:space="preserve">What is the purpose of the </w:t>
      </w:r>
      <w:r w:rsidR="000119F4" w:rsidRPr="0064254D">
        <w:rPr>
          <w:b/>
          <w:sz w:val="24"/>
          <w:szCs w:val="24"/>
        </w:rPr>
        <w:t xml:space="preserve">Healthy Roscommon </w:t>
      </w:r>
      <w:r w:rsidR="006C79DB">
        <w:rPr>
          <w:b/>
          <w:sz w:val="24"/>
          <w:szCs w:val="24"/>
        </w:rPr>
        <w:t xml:space="preserve">Small Grant Scheme 2025? </w:t>
      </w:r>
    </w:p>
    <w:p w:rsidR="00B562C2" w:rsidRPr="0064254D" w:rsidRDefault="006A3828" w:rsidP="00B562C2">
      <w:pPr>
        <w:rPr>
          <w:sz w:val="24"/>
          <w:szCs w:val="24"/>
        </w:rPr>
      </w:pPr>
      <w:r w:rsidRPr="0064254D">
        <w:rPr>
          <w:sz w:val="24"/>
          <w:szCs w:val="24"/>
        </w:rPr>
        <w:t xml:space="preserve">The purpose of the fund is to improve population Health and Wellbeing in County Roscommon, by supporting </w:t>
      </w:r>
      <w:r w:rsidR="00B562C2" w:rsidRPr="0064254D">
        <w:rPr>
          <w:sz w:val="24"/>
          <w:szCs w:val="24"/>
        </w:rPr>
        <w:t>and encouraging targeted action</w:t>
      </w:r>
      <w:r w:rsidRPr="0064254D">
        <w:rPr>
          <w:sz w:val="24"/>
          <w:szCs w:val="24"/>
        </w:rPr>
        <w:t xml:space="preserve"> in r</w:t>
      </w:r>
      <w:r w:rsidR="00B562C2" w:rsidRPr="0064254D">
        <w:rPr>
          <w:sz w:val="24"/>
          <w:szCs w:val="24"/>
        </w:rPr>
        <w:t xml:space="preserve">elation to </w:t>
      </w:r>
      <w:r w:rsidR="004241F4">
        <w:rPr>
          <w:sz w:val="24"/>
          <w:szCs w:val="24"/>
        </w:rPr>
        <w:t xml:space="preserve">Increasing Physical activity and/or </w:t>
      </w:r>
      <w:r w:rsidR="00B562C2" w:rsidRPr="0064254D">
        <w:rPr>
          <w:sz w:val="24"/>
          <w:szCs w:val="24"/>
        </w:rPr>
        <w:t>Positive Mental Health Promotion in</w:t>
      </w:r>
      <w:r w:rsidR="007D44C3" w:rsidRPr="0064254D">
        <w:rPr>
          <w:sz w:val="24"/>
          <w:szCs w:val="24"/>
        </w:rPr>
        <w:t xml:space="preserve"> the county</w:t>
      </w:r>
      <w:r w:rsidR="004241F4">
        <w:rPr>
          <w:sz w:val="24"/>
          <w:szCs w:val="24"/>
        </w:rPr>
        <w:t>.</w:t>
      </w:r>
      <w:r w:rsidR="00AB5236" w:rsidRPr="0064254D">
        <w:rPr>
          <w:sz w:val="24"/>
          <w:szCs w:val="24"/>
        </w:rPr>
        <w:t xml:space="preserve"> </w:t>
      </w:r>
    </w:p>
    <w:p w:rsidR="006A3828" w:rsidRDefault="006A3828" w:rsidP="006A3828">
      <w:pPr>
        <w:ind w:left="45"/>
        <w:rPr>
          <w:sz w:val="24"/>
          <w:szCs w:val="24"/>
        </w:rPr>
      </w:pPr>
      <w:r w:rsidRPr="0064254D">
        <w:rPr>
          <w:sz w:val="24"/>
          <w:szCs w:val="24"/>
        </w:rPr>
        <w:t>T</w:t>
      </w:r>
      <w:r w:rsidR="00B562C2" w:rsidRPr="0064254D">
        <w:rPr>
          <w:sz w:val="24"/>
          <w:szCs w:val="24"/>
        </w:rPr>
        <w:t>h</w:t>
      </w:r>
      <w:r w:rsidR="00146530">
        <w:rPr>
          <w:sz w:val="24"/>
          <w:szCs w:val="24"/>
        </w:rPr>
        <w:t>ese</w:t>
      </w:r>
      <w:r w:rsidR="00B562C2" w:rsidRPr="0064254D">
        <w:rPr>
          <w:sz w:val="24"/>
          <w:szCs w:val="24"/>
        </w:rPr>
        <w:t xml:space="preserve"> health</w:t>
      </w:r>
      <w:r w:rsidRPr="0064254D">
        <w:rPr>
          <w:sz w:val="24"/>
          <w:szCs w:val="24"/>
        </w:rPr>
        <w:t xml:space="preserve"> outcomes align with the Healthy Ireland Framework for Improved Health and Wellbeing and the Local Economic and Community Plan (LECP). </w:t>
      </w:r>
    </w:p>
    <w:p w:rsidR="00B8597C" w:rsidRPr="0064254D" w:rsidRDefault="00B8597C" w:rsidP="00B8597C">
      <w:pPr>
        <w:ind w:left="45"/>
        <w:rPr>
          <w:sz w:val="24"/>
          <w:szCs w:val="24"/>
        </w:rPr>
      </w:pPr>
      <w:r w:rsidRPr="0064254D">
        <w:rPr>
          <w:sz w:val="24"/>
          <w:szCs w:val="24"/>
        </w:rPr>
        <w:t>Support Funding for promoting</w:t>
      </w:r>
      <w:r w:rsidR="006C79DB">
        <w:rPr>
          <w:sz w:val="24"/>
          <w:szCs w:val="24"/>
        </w:rPr>
        <w:t xml:space="preserve"> Increased Physical Activity or</w:t>
      </w:r>
      <w:r w:rsidRPr="0064254D">
        <w:rPr>
          <w:sz w:val="24"/>
          <w:szCs w:val="24"/>
        </w:rPr>
        <w:t xml:space="preserve"> Positive Mental Health is in grant form </w:t>
      </w:r>
      <w:r w:rsidR="006C79DB">
        <w:rPr>
          <w:sz w:val="24"/>
          <w:szCs w:val="24"/>
        </w:rPr>
        <w:t xml:space="preserve">from €2,000 </w:t>
      </w:r>
      <w:r w:rsidRPr="0064254D">
        <w:rPr>
          <w:sz w:val="24"/>
          <w:szCs w:val="24"/>
        </w:rPr>
        <w:t>to a maximum of €</w:t>
      </w:r>
      <w:r w:rsidR="006C79DB">
        <w:rPr>
          <w:sz w:val="24"/>
          <w:szCs w:val="24"/>
        </w:rPr>
        <w:t>5</w:t>
      </w:r>
      <w:r w:rsidRPr="0064254D">
        <w:rPr>
          <w:sz w:val="24"/>
          <w:szCs w:val="24"/>
        </w:rPr>
        <w:t xml:space="preserve">,000. </w:t>
      </w:r>
    </w:p>
    <w:p w:rsidR="0064254D" w:rsidRPr="0064254D" w:rsidRDefault="0064254D" w:rsidP="006A3828">
      <w:pPr>
        <w:ind w:left="45"/>
        <w:rPr>
          <w:b/>
          <w:sz w:val="24"/>
          <w:szCs w:val="24"/>
        </w:rPr>
      </w:pPr>
    </w:p>
    <w:p w:rsidR="006A3828" w:rsidRPr="0064254D" w:rsidRDefault="006A3828" w:rsidP="006A3828">
      <w:pPr>
        <w:ind w:left="45"/>
        <w:rPr>
          <w:b/>
          <w:sz w:val="24"/>
          <w:szCs w:val="24"/>
        </w:rPr>
      </w:pPr>
      <w:r w:rsidRPr="0064254D">
        <w:rPr>
          <w:b/>
          <w:sz w:val="24"/>
          <w:szCs w:val="24"/>
        </w:rPr>
        <w:t xml:space="preserve">Who should apply? </w:t>
      </w:r>
    </w:p>
    <w:p w:rsidR="004B0B38" w:rsidRPr="0064254D" w:rsidRDefault="006A3828" w:rsidP="0064254D">
      <w:pPr>
        <w:ind w:left="45"/>
        <w:rPr>
          <w:sz w:val="24"/>
          <w:szCs w:val="24"/>
        </w:rPr>
      </w:pPr>
      <w:r w:rsidRPr="0064254D">
        <w:rPr>
          <w:sz w:val="24"/>
          <w:szCs w:val="24"/>
        </w:rPr>
        <w:t xml:space="preserve">Any Community and Voluntary group </w:t>
      </w:r>
      <w:r w:rsidR="00B8597C">
        <w:rPr>
          <w:sz w:val="24"/>
          <w:szCs w:val="24"/>
        </w:rPr>
        <w:t xml:space="preserve">who wish to </w:t>
      </w:r>
      <w:r w:rsidRPr="0064254D">
        <w:rPr>
          <w:sz w:val="24"/>
          <w:szCs w:val="24"/>
        </w:rPr>
        <w:t>promot</w:t>
      </w:r>
      <w:r w:rsidR="00B8597C">
        <w:rPr>
          <w:sz w:val="24"/>
          <w:szCs w:val="24"/>
        </w:rPr>
        <w:t>e</w:t>
      </w:r>
      <w:r w:rsidRPr="0064254D">
        <w:rPr>
          <w:sz w:val="24"/>
          <w:szCs w:val="24"/>
        </w:rPr>
        <w:t xml:space="preserve"> health and wellbeing in County Roscommon may apply. Public sector organisations are not eligible to make an application. Groups </w:t>
      </w:r>
      <w:r w:rsidR="00247F92">
        <w:rPr>
          <w:sz w:val="24"/>
          <w:szCs w:val="24"/>
        </w:rPr>
        <w:t>should</w:t>
      </w:r>
      <w:r w:rsidRPr="0064254D">
        <w:rPr>
          <w:sz w:val="24"/>
          <w:szCs w:val="24"/>
        </w:rPr>
        <w:t xml:space="preserve"> register with the Roscommon Public Participation Network (PPN) and be actively involved in the PPN.</w:t>
      </w:r>
    </w:p>
    <w:p w:rsidR="0064254D" w:rsidRPr="0064254D" w:rsidRDefault="0064254D" w:rsidP="006A3828">
      <w:pPr>
        <w:ind w:left="45"/>
        <w:rPr>
          <w:b/>
          <w:sz w:val="24"/>
          <w:szCs w:val="24"/>
        </w:rPr>
      </w:pPr>
    </w:p>
    <w:p w:rsidR="006A3828" w:rsidRPr="0064254D" w:rsidRDefault="006A3828" w:rsidP="006A3828">
      <w:pPr>
        <w:ind w:left="45"/>
        <w:rPr>
          <w:b/>
          <w:sz w:val="24"/>
          <w:szCs w:val="24"/>
        </w:rPr>
      </w:pPr>
      <w:r w:rsidRPr="0064254D">
        <w:rPr>
          <w:b/>
          <w:sz w:val="24"/>
          <w:szCs w:val="24"/>
        </w:rPr>
        <w:t>What type</w:t>
      </w:r>
      <w:r w:rsidR="007E14D7" w:rsidRPr="0064254D">
        <w:rPr>
          <w:b/>
          <w:sz w:val="24"/>
          <w:szCs w:val="24"/>
        </w:rPr>
        <w:t xml:space="preserve"> of proposal is</w:t>
      </w:r>
      <w:r w:rsidRPr="0064254D">
        <w:rPr>
          <w:b/>
          <w:sz w:val="24"/>
          <w:szCs w:val="24"/>
        </w:rPr>
        <w:t xml:space="preserve"> considered? </w:t>
      </w:r>
    </w:p>
    <w:p w:rsidR="007E14D7" w:rsidRPr="0064254D" w:rsidRDefault="006A3828" w:rsidP="003A2505">
      <w:pPr>
        <w:ind w:left="45"/>
        <w:rPr>
          <w:sz w:val="24"/>
          <w:szCs w:val="24"/>
        </w:rPr>
      </w:pPr>
      <w:r w:rsidRPr="0064254D">
        <w:rPr>
          <w:sz w:val="24"/>
          <w:szCs w:val="24"/>
        </w:rPr>
        <w:t xml:space="preserve">The </w:t>
      </w:r>
      <w:r w:rsidR="006C79DB">
        <w:rPr>
          <w:sz w:val="24"/>
          <w:szCs w:val="24"/>
        </w:rPr>
        <w:t>Healthy Roscommon Small Grant Scheme 2025</w:t>
      </w:r>
      <w:r w:rsidR="00B562C2" w:rsidRPr="0064254D">
        <w:rPr>
          <w:sz w:val="24"/>
          <w:szCs w:val="24"/>
        </w:rPr>
        <w:t xml:space="preserve"> is earmarked </w:t>
      </w:r>
      <w:r w:rsidR="005D0647">
        <w:rPr>
          <w:sz w:val="24"/>
          <w:szCs w:val="24"/>
        </w:rPr>
        <w:t xml:space="preserve">targeted initiatives </w:t>
      </w:r>
      <w:r w:rsidR="00B562C2" w:rsidRPr="0064254D">
        <w:rPr>
          <w:sz w:val="24"/>
          <w:szCs w:val="24"/>
        </w:rPr>
        <w:t xml:space="preserve">for promoting and enhancing </w:t>
      </w:r>
      <w:r w:rsidR="006C79DB">
        <w:rPr>
          <w:sz w:val="24"/>
          <w:szCs w:val="24"/>
        </w:rPr>
        <w:t xml:space="preserve">physical activity levels and </w:t>
      </w:r>
      <w:r w:rsidR="00B562C2" w:rsidRPr="0064254D">
        <w:rPr>
          <w:sz w:val="24"/>
          <w:szCs w:val="24"/>
        </w:rPr>
        <w:t xml:space="preserve">mental health and wellbeing </w:t>
      </w:r>
      <w:r w:rsidR="006C79DB">
        <w:rPr>
          <w:sz w:val="24"/>
          <w:szCs w:val="24"/>
        </w:rPr>
        <w:t>through innovative community based projects or initiatives across the county of Roscommon</w:t>
      </w:r>
      <w:r w:rsidR="007E14D7" w:rsidRPr="0064254D">
        <w:rPr>
          <w:sz w:val="24"/>
          <w:szCs w:val="24"/>
        </w:rPr>
        <w:t>.</w:t>
      </w:r>
    </w:p>
    <w:p w:rsidR="007E14D7" w:rsidRPr="0064254D" w:rsidRDefault="006C79DB" w:rsidP="006A3828">
      <w:pPr>
        <w:ind w:left="45"/>
        <w:rPr>
          <w:sz w:val="24"/>
          <w:szCs w:val="24"/>
        </w:rPr>
      </w:pPr>
      <w:r>
        <w:rPr>
          <w:sz w:val="24"/>
          <w:szCs w:val="24"/>
        </w:rPr>
        <w:t>This</w:t>
      </w:r>
      <w:r w:rsidR="007D44C3" w:rsidRPr="0064254D">
        <w:rPr>
          <w:sz w:val="24"/>
          <w:szCs w:val="24"/>
        </w:rPr>
        <w:t xml:space="preserve"> </w:t>
      </w:r>
      <w:r w:rsidR="007E14D7" w:rsidRPr="0064254D">
        <w:rPr>
          <w:sz w:val="24"/>
          <w:szCs w:val="24"/>
        </w:rPr>
        <w:t xml:space="preserve">can be as simple or complicated as you like and you can get creative and diverse in your thinking </w:t>
      </w:r>
      <w:r w:rsidR="005D0647">
        <w:rPr>
          <w:sz w:val="24"/>
          <w:szCs w:val="24"/>
        </w:rPr>
        <w:t xml:space="preserve">around ways </w:t>
      </w:r>
      <w:r w:rsidR="007E14D7" w:rsidRPr="0064254D">
        <w:rPr>
          <w:sz w:val="24"/>
          <w:szCs w:val="24"/>
        </w:rPr>
        <w:t xml:space="preserve">to </w:t>
      </w:r>
      <w:r w:rsidR="005D0647">
        <w:rPr>
          <w:sz w:val="24"/>
          <w:szCs w:val="24"/>
        </w:rPr>
        <w:t>motivate and encourage people to engage with the initiative for which you seek grant funding</w:t>
      </w:r>
      <w:r w:rsidR="007E14D7" w:rsidRPr="0064254D">
        <w:rPr>
          <w:sz w:val="24"/>
          <w:szCs w:val="24"/>
        </w:rPr>
        <w:t xml:space="preserve">.  </w:t>
      </w:r>
    </w:p>
    <w:p w:rsidR="00247F92" w:rsidRPr="00247F92" w:rsidRDefault="00247F92" w:rsidP="006A3828">
      <w:pPr>
        <w:ind w:left="45"/>
        <w:rPr>
          <w:sz w:val="24"/>
          <w:szCs w:val="24"/>
        </w:rPr>
      </w:pPr>
      <w:r w:rsidRPr="00247F92">
        <w:rPr>
          <w:sz w:val="24"/>
          <w:szCs w:val="24"/>
        </w:rPr>
        <w:lastRenderedPageBreak/>
        <w:t>For your research you can view</w:t>
      </w:r>
      <w:r w:rsidR="005D0647">
        <w:rPr>
          <w:sz w:val="24"/>
          <w:szCs w:val="24"/>
        </w:rPr>
        <w:t xml:space="preserve"> sample projects and case studies here </w:t>
      </w:r>
      <w:hyperlink r:id="rId7" w:history="1">
        <w:r w:rsidR="005D0647">
          <w:rPr>
            <w:rStyle w:val="Hyperlink"/>
          </w:rPr>
          <w:t>Case Studies - Healthy Ireland Local Government</w:t>
        </w:r>
      </w:hyperlink>
      <w:r w:rsidRPr="00247F92">
        <w:rPr>
          <w:sz w:val="24"/>
          <w:szCs w:val="24"/>
        </w:rPr>
        <w:t>.</w:t>
      </w:r>
    </w:p>
    <w:p w:rsidR="00AB5236" w:rsidRPr="0064254D" w:rsidRDefault="00AB5236" w:rsidP="00AB5236">
      <w:pPr>
        <w:rPr>
          <w:b/>
          <w:sz w:val="24"/>
          <w:szCs w:val="24"/>
        </w:rPr>
      </w:pPr>
      <w:r w:rsidRPr="0064254D">
        <w:rPr>
          <w:b/>
          <w:sz w:val="24"/>
          <w:szCs w:val="24"/>
        </w:rPr>
        <w:t xml:space="preserve">Please note successful applicants/groups of funding may be requested to attend an orientation meeting </w:t>
      </w:r>
      <w:r w:rsidR="005D0647">
        <w:rPr>
          <w:b/>
          <w:sz w:val="24"/>
          <w:szCs w:val="24"/>
        </w:rPr>
        <w:t xml:space="preserve">for </w:t>
      </w:r>
      <w:r w:rsidRPr="0064254D">
        <w:rPr>
          <w:b/>
          <w:sz w:val="24"/>
          <w:szCs w:val="24"/>
        </w:rPr>
        <w:t>pre event delivery</w:t>
      </w:r>
      <w:r w:rsidR="005D0647">
        <w:rPr>
          <w:b/>
          <w:sz w:val="24"/>
          <w:szCs w:val="24"/>
        </w:rPr>
        <w:t xml:space="preserve"> consultation</w:t>
      </w:r>
      <w:r w:rsidRPr="0064254D">
        <w:rPr>
          <w:b/>
          <w:sz w:val="24"/>
          <w:szCs w:val="24"/>
        </w:rPr>
        <w:t xml:space="preserve">. </w:t>
      </w:r>
    </w:p>
    <w:p w:rsidR="00B8597C" w:rsidRDefault="007D44C3" w:rsidP="006A3828">
      <w:pPr>
        <w:ind w:left="45"/>
        <w:rPr>
          <w:b/>
          <w:sz w:val="24"/>
          <w:szCs w:val="24"/>
        </w:rPr>
      </w:pPr>
      <w:r w:rsidRPr="0064254D">
        <w:rPr>
          <w:b/>
          <w:sz w:val="24"/>
          <w:szCs w:val="24"/>
        </w:rPr>
        <w:t xml:space="preserve">Each </w:t>
      </w:r>
      <w:r w:rsidR="005D0647">
        <w:rPr>
          <w:b/>
          <w:sz w:val="24"/>
          <w:szCs w:val="24"/>
        </w:rPr>
        <w:t>project</w:t>
      </w:r>
      <w:r w:rsidRPr="0064254D">
        <w:rPr>
          <w:b/>
          <w:sz w:val="24"/>
          <w:szCs w:val="24"/>
        </w:rPr>
        <w:t xml:space="preserve"> is required to gather anonymous data on the participants in the form </w:t>
      </w:r>
      <w:r w:rsidR="005D0647">
        <w:rPr>
          <w:b/>
          <w:sz w:val="24"/>
          <w:szCs w:val="24"/>
        </w:rPr>
        <w:t>to support evaluation using an appropriate tool or index (this will specified in funding agreement dependent on the nature of the project)</w:t>
      </w:r>
    </w:p>
    <w:p w:rsidR="007D44C3" w:rsidRPr="0064254D" w:rsidRDefault="00B8597C" w:rsidP="006A3828">
      <w:pPr>
        <w:ind w:left="45"/>
        <w:rPr>
          <w:b/>
          <w:sz w:val="24"/>
          <w:szCs w:val="24"/>
        </w:rPr>
      </w:pPr>
      <w:r w:rsidRPr="00B8597C">
        <w:rPr>
          <w:sz w:val="24"/>
          <w:szCs w:val="24"/>
        </w:rPr>
        <w:t>The requirements are as follows and the required survey form is detailed on the last page of this</w:t>
      </w:r>
      <w:r>
        <w:rPr>
          <w:b/>
          <w:sz w:val="24"/>
          <w:szCs w:val="24"/>
        </w:rPr>
        <w:t xml:space="preserve"> Guidance Document.</w:t>
      </w:r>
    </w:p>
    <w:p w:rsidR="00EE3C76" w:rsidRPr="0064254D" w:rsidRDefault="00EE3C76" w:rsidP="006A3828">
      <w:pPr>
        <w:ind w:left="45"/>
        <w:rPr>
          <w:b/>
          <w:sz w:val="24"/>
          <w:szCs w:val="24"/>
        </w:rPr>
      </w:pPr>
      <w:r w:rsidRPr="0064254D">
        <w:rPr>
          <w:b/>
          <w:sz w:val="24"/>
          <w:szCs w:val="24"/>
        </w:rPr>
        <w:t xml:space="preserve">How will my application be assessed? </w:t>
      </w:r>
    </w:p>
    <w:p w:rsidR="00EE3C76" w:rsidRPr="0064254D" w:rsidRDefault="00EE3C76" w:rsidP="006A3828">
      <w:pPr>
        <w:ind w:left="45"/>
        <w:rPr>
          <w:sz w:val="24"/>
          <w:szCs w:val="24"/>
        </w:rPr>
      </w:pPr>
      <w:r w:rsidRPr="0064254D">
        <w:rPr>
          <w:sz w:val="24"/>
          <w:szCs w:val="24"/>
        </w:rPr>
        <w:t>Your application will be assessed only on the information provided in or along with the completed application form. You are encouraged to include documentation with your application to support any information given. The Healthy Roscommon working group will assess your application</w:t>
      </w:r>
      <w:r w:rsidR="003227AA">
        <w:rPr>
          <w:sz w:val="24"/>
          <w:szCs w:val="24"/>
        </w:rPr>
        <w:t xml:space="preserve"> and all submitted applications</w:t>
      </w:r>
      <w:r w:rsidRPr="0064254D">
        <w:rPr>
          <w:sz w:val="24"/>
          <w:szCs w:val="24"/>
        </w:rPr>
        <w:t xml:space="preserve"> and make a recommendation in conjunction with a Healthy Roscommon evaluation template. </w:t>
      </w:r>
    </w:p>
    <w:p w:rsidR="00EE3C76" w:rsidRPr="0064254D" w:rsidRDefault="00EE3C76" w:rsidP="00A560F2">
      <w:pPr>
        <w:ind w:left="45"/>
        <w:rPr>
          <w:sz w:val="24"/>
          <w:szCs w:val="24"/>
        </w:rPr>
      </w:pPr>
      <w:r w:rsidRPr="0064254D">
        <w:rPr>
          <w:sz w:val="24"/>
          <w:szCs w:val="24"/>
        </w:rPr>
        <w:t xml:space="preserve">Following this evaluation applicants of the fund will be notified of </w:t>
      </w:r>
      <w:r w:rsidR="007A0688">
        <w:rPr>
          <w:sz w:val="24"/>
          <w:szCs w:val="24"/>
        </w:rPr>
        <w:t xml:space="preserve">the status on their application.  </w:t>
      </w:r>
    </w:p>
    <w:p w:rsidR="00EE3C76" w:rsidRPr="0064254D" w:rsidRDefault="00EE3C76" w:rsidP="00B8597C">
      <w:pPr>
        <w:rPr>
          <w:b/>
          <w:sz w:val="24"/>
          <w:szCs w:val="24"/>
        </w:rPr>
      </w:pPr>
      <w:r w:rsidRPr="0064254D">
        <w:rPr>
          <w:b/>
          <w:sz w:val="24"/>
          <w:szCs w:val="24"/>
        </w:rPr>
        <w:t>How do I draw down the grant?</w:t>
      </w:r>
    </w:p>
    <w:p w:rsidR="00B8597C" w:rsidRDefault="00EE3C76" w:rsidP="00B8597C">
      <w:pPr>
        <w:rPr>
          <w:sz w:val="24"/>
          <w:szCs w:val="24"/>
        </w:rPr>
      </w:pPr>
      <w:r w:rsidRPr="0064254D">
        <w:rPr>
          <w:sz w:val="24"/>
          <w:szCs w:val="24"/>
        </w:rPr>
        <w:t xml:space="preserve">Projects must be completed before you can draw down the grant. Before final payment, Roscommon County Council may require a project visit to confirm that all projects are completed. </w:t>
      </w:r>
      <w:r w:rsidR="00D111F8">
        <w:rPr>
          <w:sz w:val="24"/>
          <w:szCs w:val="24"/>
        </w:rPr>
        <w:t xml:space="preserve">  </w:t>
      </w:r>
      <w:r w:rsidRPr="0064254D">
        <w:rPr>
          <w:sz w:val="24"/>
          <w:szCs w:val="24"/>
        </w:rPr>
        <w:t xml:space="preserve">A </w:t>
      </w:r>
      <w:r w:rsidR="00B8597C" w:rsidRPr="0064254D">
        <w:rPr>
          <w:sz w:val="24"/>
          <w:szCs w:val="24"/>
        </w:rPr>
        <w:t xml:space="preserve">Healthy Roscommon </w:t>
      </w:r>
      <w:r w:rsidR="005D0647">
        <w:rPr>
          <w:sz w:val="24"/>
          <w:szCs w:val="24"/>
        </w:rPr>
        <w:t xml:space="preserve">Small Grant scheme </w:t>
      </w:r>
      <w:r w:rsidRPr="0064254D">
        <w:rPr>
          <w:sz w:val="24"/>
          <w:szCs w:val="24"/>
        </w:rPr>
        <w:t xml:space="preserve">project completion report and financial report must be submitted at the end of the project. </w:t>
      </w:r>
    </w:p>
    <w:p w:rsidR="00B8597C" w:rsidRDefault="00EE3C76" w:rsidP="00D111F8">
      <w:pPr>
        <w:pStyle w:val="ListParagraph"/>
        <w:numPr>
          <w:ilvl w:val="0"/>
          <w:numId w:val="7"/>
        </w:numPr>
        <w:rPr>
          <w:sz w:val="24"/>
          <w:szCs w:val="24"/>
        </w:rPr>
      </w:pPr>
      <w:r w:rsidRPr="00D111F8">
        <w:rPr>
          <w:b/>
          <w:sz w:val="24"/>
          <w:szCs w:val="24"/>
        </w:rPr>
        <w:t>Completion report</w:t>
      </w:r>
      <w:r w:rsidRPr="00D111F8">
        <w:rPr>
          <w:sz w:val="24"/>
          <w:szCs w:val="24"/>
        </w:rPr>
        <w:t xml:space="preserve"> is a short summary rep</w:t>
      </w:r>
      <w:r w:rsidR="00B8597C" w:rsidRPr="00D111F8">
        <w:rPr>
          <w:sz w:val="24"/>
          <w:szCs w:val="24"/>
        </w:rPr>
        <w:t xml:space="preserve">ort on the funded project/event and include all anonymously completed survey forms from the </w:t>
      </w:r>
      <w:r w:rsidR="005D0647">
        <w:rPr>
          <w:sz w:val="24"/>
          <w:szCs w:val="24"/>
        </w:rPr>
        <w:t>beginning and end of the project</w:t>
      </w:r>
      <w:r w:rsidR="00B8597C" w:rsidRPr="00D111F8">
        <w:rPr>
          <w:sz w:val="24"/>
          <w:szCs w:val="24"/>
        </w:rPr>
        <w:t>.</w:t>
      </w:r>
    </w:p>
    <w:p w:rsidR="00D111F8" w:rsidRPr="00D111F8" w:rsidRDefault="00D111F8" w:rsidP="00D111F8">
      <w:pPr>
        <w:pStyle w:val="ListParagraph"/>
        <w:rPr>
          <w:sz w:val="24"/>
          <w:szCs w:val="24"/>
        </w:rPr>
      </w:pPr>
    </w:p>
    <w:p w:rsidR="00B8597C" w:rsidRPr="00D111F8" w:rsidRDefault="00B8597C" w:rsidP="00D111F8">
      <w:pPr>
        <w:pStyle w:val="ListParagraph"/>
        <w:numPr>
          <w:ilvl w:val="0"/>
          <w:numId w:val="7"/>
        </w:numPr>
        <w:rPr>
          <w:sz w:val="24"/>
          <w:szCs w:val="24"/>
        </w:rPr>
      </w:pPr>
      <w:r w:rsidRPr="00D111F8">
        <w:rPr>
          <w:b/>
          <w:sz w:val="24"/>
          <w:szCs w:val="24"/>
        </w:rPr>
        <w:t xml:space="preserve">Financial </w:t>
      </w:r>
      <w:r w:rsidR="00EE3C76" w:rsidRPr="00D111F8">
        <w:rPr>
          <w:b/>
          <w:sz w:val="24"/>
          <w:szCs w:val="24"/>
        </w:rPr>
        <w:t>Report</w:t>
      </w:r>
      <w:r w:rsidR="00EE3C76" w:rsidRPr="00D111F8">
        <w:rPr>
          <w:sz w:val="24"/>
          <w:szCs w:val="24"/>
        </w:rPr>
        <w:t xml:space="preserve"> must be accompanied by: </w:t>
      </w:r>
    </w:p>
    <w:p w:rsidR="00B8597C" w:rsidRPr="00B8597C" w:rsidRDefault="00EE3C76" w:rsidP="00B8597C">
      <w:pPr>
        <w:pStyle w:val="ListParagraph"/>
        <w:numPr>
          <w:ilvl w:val="0"/>
          <w:numId w:val="6"/>
        </w:numPr>
        <w:rPr>
          <w:sz w:val="24"/>
          <w:szCs w:val="24"/>
        </w:rPr>
      </w:pPr>
      <w:r w:rsidRPr="00B8597C">
        <w:rPr>
          <w:sz w:val="24"/>
          <w:szCs w:val="24"/>
        </w:rPr>
        <w:t>Invoices and original receipts detailing expenditure on the project</w:t>
      </w:r>
    </w:p>
    <w:p w:rsidR="00B8597C" w:rsidRPr="00B8597C" w:rsidRDefault="00EE3C76" w:rsidP="00B8597C">
      <w:pPr>
        <w:pStyle w:val="ListParagraph"/>
        <w:numPr>
          <w:ilvl w:val="0"/>
          <w:numId w:val="6"/>
        </w:numPr>
        <w:rPr>
          <w:sz w:val="24"/>
          <w:szCs w:val="24"/>
        </w:rPr>
      </w:pPr>
      <w:r w:rsidRPr="00B8597C">
        <w:rPr>
          <w:sz w:val="24"/>
          <w:szCs w:val="24"/>
        </w:rPr>
        <w:t xml:space="preserve">Invoices and Receipts must reference the name of the Grantee e.g. name of the organisation / community group. </w:t>
      </w:r>
    </w:p>
    <w:p w:rsidR="00B8597C" w:rsidRPr="00B8597C" w:rsidRDefault="00EE3C76" w:rsidP="00B8597C">
      <w:pPr>
        <w:pStyle w:val="ListParagraph"/>
        <w:numPr>
          <w:ilvl w:val="0"/>
          <w:numId w:val="6"/>
        </w:numPr>
        <w:rPr>
          <w:sz w:val="24"/>
          <w:szCs w:val="24"/>
        </w:rPr>
      </w:pPr>
      <w:r w:rsidRPr="00B8597C">
        <w:rPr>
          <w:sz w:val="24"/>
          <w:szCs w:val="24"/>
        </w:rPr>
        <w:t xml:space="preserve">Bank Statements of Healthy Roscommon </w:t>
      </w:r>
      <w:r w:rsidR="005D0647">
        <w:rPr>
          <w:sz w:val="24"/>
          <w:szCs w:val="24"/>
        </w:rPr>
        <w:t>Small Grant Scheme 2025</w:t>
      </w:r>
      <w:r w:rsidRPr="00B8597C">
        <w:rPr>
          <w:sz w:val="24"/>
          <w:szCs w:val="24"/>
        </w:rPr>
        <w:t xml:space="preserve"> transactions. </w:t>
      </w:r>
    </w:p>
    <w:p w:rsidR="00B8597C" w:rsidRPr="00B8597C" w:rsidRDefault="00A560F2" w:rsidP="00B8597C">
      <w:pPr>
        <w:pStyle w:val="ListParagraph"/>
        <w:numPr>
          <w:ilvl w:val="0"/>
          <w:numId w:val="6"/>
        </w:numPr>
        <w:rPr>
          <w:sz w:val="24"/>
          <w:szCs w:val="24"/>
        </w:rPr>
      </w:pPr>
      <w:r w:rsidRPr="00B8597C">
        <w:rPr>
          <w:sz w:val="24"/>
          <w:szCs w:val="24"/>
        </w:rPr>
        <w:t>Photographs</w:t>
      </w:r>
      <w:r w:rsidR="00EE3C76" w:rsidRPr="00B8597C">
        <w:rPr>
          <w:sz w:val="24"/>
          <w:szCs w:val="24"/>
        </w:rPr>
        <w:t xml:space="preserve"> of events held. By submitting photos, the applicant is giving permission to Roscommon County Council to use the image(s) for promotional purposes, and </w:t>
      </w:r>
      <w:r w:rsidR="00EE3C76" w:rsidRPr="00B8597C">
        <w:rPr>
          <w:sz w:val="24"/>
          <w:szCs w:val="24"/>
        </w:rPr>
        <w:lastRenderedPageBreak/>
        <w:t xml:space="preserve">confirming they have the permission of the photographer and any people who appear in the photo. </w:t>
      </w:r>
    </w:p>
    <w:p w:rsidR="00EE3C76" w:rsidRPr="00B8597C" w:rsidRDefault="00EE3C76" w:rsidP="00B8597C">
      <w:pPr>
        <w:pStyle w:val="ListParagraph"/>
        <w:numPr>
          <w:ilvl w:val="0"/>
          <w:numId w:val="6"/>
        </w:numPr>
        <w:rPr>
          <w:sz w:val="24"/>
          <w:szCs w:val="24"/>
        </w:rPr>
      </w:pPr>
      <w:r w:rsidRPr="00B8597C">
        <w:rPr>
          <w:sz w:val="24"/>
          <w:szCs w:val="24"/>
        </w:rPr>
        <w:t>Any other documentation which will be notified to you at approval stage.</w:t>
      </w:r>
    </w:p>
    <w:p w:rsidR="00B8597C" w:rsidRPr="0064254D" w:rsidRDefault="00B8597C" w:rsidP="00B8597C">
      <w:pPr>
        <w:rPr>
          <w:sz w:val="24"/>
          <w:szCs w:val="24"/>
        </w:rPr>
      </w:pPr>
    </w:p>
    <w:p w:rsidR="00EE3C76" w:rsidRPr="0064254D" w:rsidRDefault="00EE3C76" w:rsidP="006A3828">
      <w:pPr>
        <w:ind w:left="45"/>
        <w:rPr>
          <w:b/>
          <w:sz w:val="24"/>
          <w:szCs w:val="24"/>
        </w:rPr>
      </w:pPr>
      <w:r w:rsidRPr="0064254D">
        <w:rPr>
          <w:b/>
          <w:sz w:val="24"/>
          <w:szCs w:val="24"/>
        </w:rPr>
        <w:t xml:space="preserve">Please note that: </w:t>
      </w:r>
    </w:p>
    <w:p w:rsidR="00EE3C76" w:rsidRPr="0064254D" w:rsidRDefault="00EE3C76" w:rsidP="006A3828">
      <w:pPr>
        <w:ind w:left="45"/>
        <w:rPr>
          <w:sz w:val="24"/>
          <w:szCs w:val="24"/>
        </w:rPr>
      </w:pPr>
      <w:bookmarkStart w:id="0" w:name="_GoBack"/>
      <w:r w:rsidRPr="0064254D">
        <w:rPr>
          <w:sz w:val="24"/>
          <w:szCs w:val="24"/>
        </w:rPr>
        <w:t xml:space="preserve">Closing Date for receipt of Application Forms is: </w:t>
      </w:r>
      <w:r w:rsidR="004241F4">
        <w:rPr>
          <w:sz w:val="24"/>
          <w:szCs w:val="24"/>
        </w:rPr>
        <w:t>Friday 13</w:t>
      </w:r>
      <w:r w:rsidR="004241F4" w:rsidRPr="004241F4">
        <w:rPr>
          <w:sz w:val="24"/>
          <w:szCs w:val="24"/>
          <w:vertAlign w:val="superscript"/>
        </w:rPr>
        <w:t>th</w:t>
      </w:r>
      <w:r w:rsidR="004241F4">
        <w:rPr>
          <w:sz w:val="24"/>
          <w:szCs w:val="24"/>
        </w:rPr>
        <w:t xml:space="preserve"> of December </w:t>
      </w:r>
      <w:r w:rsidR="00AB5236" w:rsidRPr="0064254D">
        <w:rPr>
          <w:sz w:val="24"/>
          <w:szCs w:val="24"/>
        </w:rPr>
        <w:t>2024</w:t>
      </w:r>
    </w:p>
    <w:bookmarkEnd w:id="0"/>
    <w:p w:rsidR="00EE3C76" w:rsidRPr="0064254D" w:rsidRDefault="00EE3C76" w:rsidP="006A3828">
      <w:pPr>
        <w:ind w:left="45"/>
        <w:rPr>
          <w:sz w:val="24"/>
          <w:szCs w:val="24"/>
        </w:rPr>
      </w:pPr>
      <w:r w:rsidRPr="0064254D">
        <w:rPr>
          <w:sz w:val="24"/>
          <w:szCs w:val="24"/>
        </w:rPr>
        <w:t xml:space="preserve">Once the project/proposal has been completed, applicants can submit a claim to the Healthy Roscommon Coordinator on </w:t>
      </w:r>
      <w:r w:rsidR="00B8597C">
        <w:rPr>
          <w:sz w:val="24"/>
          <w:szCs w:val="24"/>
        </w:rPr>
        <w:t>healthyroscommon</w:t>
      </w:r>
      <w:r w:rsidR="00AB5236" w:rsidRPr="0064254D">
        <w:rPr>
          <w:sz w:val="24"/>
          <w:szCs w:val="24"/>
        </w:rPr>
        <w:t>@roscommoncoco.ie.</w:t>
      </w:r>
    </w:p>
    <w:p w:rsidR="00EE3C76" w:rsidRPr="0064254D" w:rsidRDefault="00EE3C76" w:rsidP="00D111F8">
      <w:pPr>
        <w:ind w:left="45"/>
        <w:rPr>
          <w:sz w:val="24"/>
          <w:szCs w:val="24"/>
        </w:rPr>
      </w:pPr>
      <w:r w:rsidRPr="0064254D">
        <w:rPr>
          <w:sz w:val="24"/>
          <w:szCs w:val="24"/>
        </w:rPr>
        <w:t xml:space="preserve">All projects </w:t>
      </w:r>
      <w:r w:rsidRPr="00E4529F">
        <w:rPr>
          <w:b/>
          <w:sz w:val="24"/>
          <w:szCs w:val="24"/>
        </w:rPr>
        <w:t>must be completed</w:t>
      </w:r>
      <w:r w:rsidRPr="0064254D">
        <w:rPr>
          <w:sz w:val="24"/>
          <w:szCs w:val="24"/>
        </w:rPr>
        <w:t xml:space="preserve"> by </w:t>
      </w:r>
      <w:r w:rsidR="004241F4">
        <w:rPr>
          <w:sz w:val="24"/>
          <w:szCs w:val="24"/>
        </w:rPr>
        <w:t>30</w:t>
      </w:r>
      <w:r w:rsidR="004241F4" w:rsidRPr="004241F4">
        <w:rPr>
          <w:sz w:val="24"/>
          <w:szCs w:val="24"/>
          <w:vertAlign w:val="superscript"/>
        </w:rPr>
        <w:t>th</w:t>
      </w:r>
      <w:r w:rsidR="004241F4">
        <w:rPr>
          <w:sz w:val="24"/>
          <w:szCs w:val="24"/>
        </w:rPr>
        <w:t xml:space="preserve"> September </w:t>
      </w:r>
      <w:r w:rsidR="00BF780D" w:rsidRPr="0064254D">
        <w:rPr>
          <w:sz w:val="24"/>
          <w:szCs w:val="24"/>
        </w:rPr>
        <w:t>202</w:t>
      </w:r>
      <w:r w:rsidR="004241F4">
        <w:rPr>
          <w:sz w:val="24"/>
          <w:szCs w:val="24"/>
        </w:rPr>
        <w:t>5</w:t>
      </w:r>
      <w:r w:rsidR="00BF780D" w:rsidRPr="0064254D">
        <w:rPr>
          <w:sz w:val="24"/>
          <w:szCs w:val="24"/>
        </w:rPr>
        <w:t xml:space="preserve"> and claimed by the 1</w:t>
      </w:r>
      <w:r w:rsidR="004241F4">
        <w:rPr>
          <w:sz w:val="24"/>
          <w:szCs w:val="24"/>
        </w:rPr>
        <w:t>5</w:t>
      </w:r>
      <w:r w:rsidR="00BF780D" w:rsidRPr="0064254D">
        <w:rPr>
          <w:sz w:val="24"/>
          <w:szCs w:val="24"/>
          <w:vertAlign w:val="superscript"/>
        </w:rPr>
        <w:t>th</w:t>
      </w:r>
      <w:r w:rsidR="00BF780D" w:rsidRPr="0064254D">
        <w:rPr>
          <w:sz w:val="24"/>
          <w:szCs w:val="24"/>
        </w:rPr>
        <w:t xml:space="preserve"> </w:t>
      </w:r>
      <w:r w:rsidR="004241F4">
        <w:rPr>
          <w:sz w:val="24"/>
          <w:szCs w:val="24"/>
        </w:rPr>
        <w:t xml:space="preserve">October </w:t>
      </w:r>
      <w:r w:rsidR="004241F4" w:rsidRPr="0064254D">
        <w:rPr>
          <w:sz w:val="24"/>
          <w:szCs w:val="24"/>
        </w:rPr>
        <w:t>2025</w:t>
      </w:r>
      <w:r w:rsidRPr="0064254D">
        <w:rPr>
          <w:sz w:val="24"/>
          <w:szCs w:val="24"/>
        </w:rPr>
        <w:t>. After this time,</w:t>
      </w:r>
      <w:r w:rsidR="00D111F8">
        <w:rPr>
          <w:sz w:val="24"/>
          <w:szCs w:val="24"/>
        </w:rPr>
        <w:t xml:space="preserve"> the funding will be withdrawn.  </w:t>
      </w:r>
      <w:r w:rsidRPr="0064254D">
        <w:rPr>
          <w:sz w:val="24"/>
          <w:szCs w:val="24"/>
        </w:rPr>
        <w:t xml:space="preserve">Funding not claimed by the agreed deadline will be withdrawn. The applicant must comply with Tax Clearance procedures. </w:t>
      </w:r>
    </w:p>
    <w:p w:rsidR="004B0B38" w:rsidRDefault="00EE3C76" w:rsidP="00D111F8">
      <w:pPr>
        <w:ind w:left="45"/>
        <w:rPr>
          <w:sz w:val="24"/>
          <w:szCs w:val="24"/>
        </w:rPr>
      </w:pPr>
      <w:r w:rsidRPr="0064254D">
        <w:rPr>
          <w:sz w:val="24"/>
          <w:szCs w:val="24"/>
        </w:rPr>
        <w:t>Before completing the online application form please read the Eligible and Inel</w:t>
      </w:r>
      <w:r w:rsidR="003A2505" w:rsidRPr="0064254D">
        <w:rPr>
          <w:sz w:val="24"/>
          <w:szCs w:val="24"/>
        </w:rPr>
        <w:t>igible cost guidelines outlined below.</w:t>
      </w:r>
    </w:p>
    <w:p w:rsidR="00154FEA" w:rsidRPr="0064254D" w:rsidRDefault="00154FEA" w:rsidP="00D111F8">
      <w:pPr>
        <w:rPr>
          <w:sz w:val="24"/>
          <w:szCs w:val="24"/>
        </w:rPr>
      </w:pPr>
    </w:p>
    <w:tbl>
      <w:tblPr>
        <w:tblStyle w:val="TableGrid"/>
        <w:tblW w:w="8931" w:type="dxa"/>
        <w:tblInd w:w="-5" w:type="dxa"/>
        <w:tblCellMar>
          <w:top w:w="28" w:type="dxa"/>
          <w:left w:w="106" w:type="dxa"/>
          <w:right w:w="59" w:type="dxa"/>
        </w:tblCellMar>
        <w:tblLook w:val="04A0" w:firstRow="1" w:lastRow="0" w:firstColumn="1" w:lastColumn="0" w:noHBand="0" w:noVBand="1"/>
      </w:tblPr>
      <w:tblGrid>
        <w:gridCol w:w="3001"/>
        <w:gridCol w:w="5930"/>
      </w:tblGrid>
      <w:tr w:rsidR="007D395D" w:rsidRPr="00154FEA" w:rsidTr="007D395D">
        <w:trPr>
          <w:trHeight w:val="548"/>
        </w:trPr>
        <w:tc>
          <w:tcPr>
            <w:tcW w:w="8931" w:type="dxa"/>
            <w:gridSpan w:val="2"/>
            <w:tcBorders>
              <w:top w:val="single" w:sz="4" w:space="0" w:color="000000"/>
              <w:left w:val="single" w:sz="4" w:space="0" w:color="000000"/>
              <w:bottom w:val="single" w:sz="4" w:space="0" w:color="000000"/>
              <w:right w:val="single" w:sz="4" w:space="0" w:color="000000"/>
            </w:tcBorders>
          </w:tcPr>
          <w:p w:rsidR="007D395D" w:rsidRPr="00154FEA" w:rsidRDefault="007D395D" w:rsidP="00154FEA">
            <w:pPr>
              <w:spacing w:after="160" w:line="259" w:lineRule="auto"/>
              <w:ind w:left="45"/>
              <w:jc w:val="center"/>
              <w:rPr>
                <w:b/>
                <w:sz w:val="20"/>
                <w:szCs w:val="24"/>
              </w:rPr>
            </w:pPr>
            <w:r w:rsidRPr="007A0688">
              <w:rPr>
                <w:rFonts w:eastAsiaTheme="minorHAnsi"/>
                <w:b/>
                <w:sz w:val="24"/>
                <w:szCs w:val="24"/>
              </w:rPr>
              <w:t>Eligible Project Costs</w:t>
            </w:r>
          </w:p>
        </w:tc>
      </w:tr>
      <w:tr w:rsidR="007D395D" w:rsidRPr="00154FEA" w:rsidTr="00154FEA">
        <w:trPr>
          <w:trHeight w:val="1178"/>
        </w:trPr>
        <w:tc>
          <w:tcPr>
            <w:tcW w:w="3001" w:type="dxa"/>
            <w:tcBorders>
              <w:top w:val="single" w:sz="4" w:space="0" w:color="000000"/>
              <w:left w:val="single" w:sz="4" w:space="0" w:color="000000"/>
              <w:bottom w:val="single" w:sz="4" w:space="0" w:color="000000"/>
              <w:right w:val="single" w:sz="4" w:space="0" w:color="000000"/>
            </w:tcBorders>
          </w:tcPr>
          <w:p w:rsidR="007D395D" w:rsidRPr="00154FEA" w:rsidRDefault="007D395D" w:rsidP="007D395D">
            <w:pPr>
              <w:spacing w:after="160" w:line="259" w:lineRule="auto"/>
              <w:ind w:left="45"/>
              <w:rPr>
                <w:sz w:val="20"/>
                <w:szCs w:val="24"/>
              </w:rPr>
            </w:pPr>
            <w:r w:rsidRPr="00154FEA">
              <w:rPr>
                <w:sz w:val="20"/>
                <w:szCs w:val="24"/>
              </w:rPr>
              <w:t xml:space="preserve">Venue/Room Hire/Meeting Costs </w:t>
            </w:r>
          </w:p>
        </w:tc>
        <w:tc>
          <w:tcPr>
            <w:tcW w:w="5930" w:type="dxa"/>
            <w:tcBorders>
              <w:top w:val="single" w:sz="4" w:space="0" w:color="000000"/>
              <w:left w:val="single" w:sz="4" w:space="0" w:color="000000"/>
              <w:bottom w:val="single" w:sz="4" w:space="0" w:color="000000"/>
              <w:right w:val="single" w:sz="4" w:space="0" w:color="000000"/>
            </w:tcBorders>
          </w:tcPr>
          <w:p w:rsidR="007D395D" w:rsidRPr="00154FEA" w:rsidRDefault="007D395D" w:rsidP="007D395D">
            <w:pPr>
              <w:numPr>
                <w:ilvl w:val="0"/>
                <w:numId w:val="3"/>
              </w:numPr>
              <w:spacing w:after="160" w:line="242" w:lineRule="auto"/>
              <w:ind w:left="45" w:hanging="360"/>
              <w:rPr>
                <w:sz w:val="20"/>
                <w:szCs w:val="24"/>
              </w:rPr>
            </w:pPr>
            <w:r w:rsidRPr="00154FEA">
              <w:rPr>
                <w:sz w:val="20"/>
                <w:szCs w:val="24"/>
              </w:rPr>
              <w:t xml:space="preserve">The rate per hour or per day should be used to calculate this cost.  </w:t>
            </w:r>
          </w:p>
          <w:p w:rsidR="007D395D" w:rsidRPr="00154FEA" w:rsidRDefault="007D395D" w:rsidP="007D395D">
            <w:pPr>
              <w:numPr>
                <w:ilvl w:val="0"/>
                <w:numId w:val="3"/>
              </w:numPr>
              <w:spacing w:after="160" w:line="259" w:lineRule="auto"/>
              <w:ind w:left="45" w:hanging="360"/>
              <w:rPr>
                <w:sz w:val="20"/>
                <w:szCs w:val="24"/>
              </w:rPr>
            </w:pPr>
            <w:r w:rsidRPr="00154FEA">
              <w:rPr>
                <w:sz w:val="20"/>
                <w:szCs w:val="24"/>
              </w:rPr>
              <w:t xml:space="preserve">Third party only: reasonable and not excessive third party venue hire costs. </w:t>
            </w:r>
          </w:p>
        </w:tc>
      </w:tr>
      <w:tr w:rsidR="007D395D" w:rsidRPr="00154FEA" w:rsidTr="00154FEA">
        <w:trPr>
          <w:trHeight w:val="758"/>
        </w:trPr>
        <w:tc>
          <w:tcPr>
            <w:tcW w:w="3001" w:type="dxa"/>
            <w:tcBorders>
              <w:top w:val="single" w:sz="4" w:space="0" w:color="000000"/>
              <w:left w:val="single" w:sz="4" w:space="0" w:color="000000"/>
              <w:bottom w:val="single" w:sz="4" w:space="0" w:color="000000"/>
              <w:right w:val="single" w:sz="4" w:space="0" w:color="000000"/>
            </w:tcBorders>
            <w:vAlign w:val="center"/>
          </w:tcPr>
          <w:p w:rsidR="007D395D" w:rsidRPr="00154FEA" w:rsidRDefault="007D395D" w:rsidP="00AF70C1">
            <w:pPr>
              <w:spacing w:line="259" w:lineRule="auto"/>
              <w:ind w:right="47"/>
              <w:jc w:val="center"/>
              <w:rPr>
                <w:sz w:val="20"/>
                <w:szCs w:val="24"/>
              </w:rPr>
            </w:pPr>
            <w:r w:rsidRPr="00154FEA">
              <w:rPr>
                <w:sz w:val="20"/>
                <w:szCs w:val="24"/>
              </w:rPr>
              <w:t xml:space="preserve">Course Materials </w:t>
            </w:r>
          </w:p>
        </w:tc>
        <w:tc>
          <w:tcPr>
            <w:tcW w:w="5930" w:type="dxa"/>
            <w:tcBorders>
              <w:top w:val="single" w:sz="4" w:space="0" w:color="000000"/>
              <w:left w:val="single" w:sz="4" w:space="0" w:color="000000"/>
              <w:bottom w:val="single" w:sz="4" w:space="0" w:color="000000"/>
              <w:right w:val="single" w:sz="4" w:space="0" w:color="000000"/>
            </w:tcBorders>
          </w:tcPr>
          <w:p w:rsidR="007D395D" w:rsidRPr="00154FEA" w:rsidRDefault="007D395D" w:rsidP="00AF70C1">
            <w:pPr>
              <w:spacing w:line="259" w:lineRule="auto"/>
              <w:ind w:left="360" w:hanging="360"/>
              <w:rPr>
                <w:sz w:val="20"/>
                <w:szCs w:val="24"/>
              </w:rPr>
            </w:pPr>
            <w:r w:rsidRPr="00154FEA">
              <w:rPr>
                <w:rFonts w:ascii="Segoe UI Symbol" w:eastAsia="Segoe UI Symbol" w:hAnsi="Segoe UI Symbol" w:cs="Segoe UI Symbol"/>
                <w:sz w:val="20"/>
                <w:szCs w:val="24"/>
              </w:rPr>
              <w:t>•</w:t>
            </w:r>
            <w:r w:rsidRPr="00154FEA">
              <w:rPr>
                <w:sz w:val="20"/>
                <w:szCs w:val="24"/>
              </w:rPr>
              <w:t xml:space="preserve"> Third party only and verifiable: the cost for the use of the organisations own photocopier is not eligible. </w:t>
            </w:r>
          </w:p>
        </w:tc>
      </w:tr>
      <w:tr w:rsidR="007D395D" w:rsidRPr="00154FEA" w:rsidTr="00154FEA">
        <w:trPr>
          <w:trHeight w:val="742"/>
        </w:trPr>
        <w:tc>
          <w:tcPr>
            <w:tcW w:w="3001" w:type="dxa"/>
            <w:tcBorders>
              <w:top w:val="single" w:sz="4" w:space="0" w:color="000000"/>
              <w:left w:val="single" w:sz="4" w:space="0" w:color="000000"/>
              <w:bottom w:val="single" w:sz="4" w:space="0" w:color="000000"/>
              <w:right w:val="single" w:sz="4" w:space="0" w:color="000000"/>
            </w:tcBorders>
            <w:vAlign w:val="center"/>
          </w:tcPr>
          <w:p w:rsidR="007D395D" w:rsidRPr="00154FEA" w:rsidRDefault="007D395D" w:rsidP="00AF70C1">
            <w:pPr>
              <w:spacing w:line="259" w:lineRule="auto"/>
              <w:ind w:right="52"/>
              <w:jc w:val="center"/>
              <w:rPr>
                <w:sz w:val="20"/>
                <w:szCs w:val="24"/>
              </w:rPr>
            </w:pPr>
            <w:r w:rsidRPr="00154FEA">
              <w:rPr>
                <w:sz w:val="20"/>
                <w:szCs w:val="24"/>
              </w:rPr>
              <w:t xml:space="preserve">Tutors/Facilitators/Consultants </w:t>
            </w:r>
          </w:p>
        </w:tc>
        <w:tc>
          <w:tcPr>
            <w:tcW w:w="5930" w:type="dxa"/>
            <w:tcBorders>
              <w:top w:val="single" w:sz="4" w:space="0" w:color="000000"/>
              <w:left w:val="single" w:sz="4" w:space="0" w:color="000000"/>
              <w:bottom w:val="single" w:sz="4" w:space="0" w:color="000000"/>
              <w:right w:val="single" w:sz="4" w:space="0" w:color="000000"/>
            </w:tcBorders>
          </w:tcPr>
          <w:p w:rsidR="007D395D" w:rsidRPr="00154FEA" w:rsidRDefault="007D395D" w:rsidP="00AF70C1">
            <w:pPr>
              <w:spacing w:line="259" w:lineRule="auto"/>
              <w:ind w:left="360" w:hanging="360"/>
              <w:rPr>
                <w:sz w:val="20"/>
                <w:szCs w:val="24"/>
              </w:rPr>
            </w:pPr>
            <w:r w:rsidRPr="00154FEA">
              <w:rPr>
                <w:rFonts w:ascii="Segoe UI Symbol" w:eastAsia="Segoe UI Symbol" w:hAnsi="Segoe UI Symbol" w:cs="Segoe UI Symbol"/>
                <w:sz w:val="20"/>
                <w:szCs w:val="24"/>
              </w:rPr>
              <w:t>•</w:t>
            </w:r>
            <w:r w:rsidRPr="00154FEA">
              <w:rPr>
                <w:sz w:val="20"/>
                <w:szCs w:val="24"/>
              </w:rPr>
              <w:t xml:space="preserve"> Third party only e.g., hourly rate and number of full-time equivalents used to calculate the cost. </w:t>
            </w:r>
          </w:p>
        </w:tc>
      </w:tr>
      <w:tr w:rsidR="007D395D" w:rsidRPr="00154FEA" w:rsidTr="00154FEA">
        <w:trPr>
          <w:trHeight w:val="759"/>
        </w:trPr>
        <w:tc>
          <w:tcPr>
            <w:tcW w:w="3001" w:type="dxa"/>
            <w:tcBorders>
              <w:top w:val="single" w:sz="4" w:space="0" w:color="000000"/>
              <w:left w:val="single" w:sz="4" w:space="0" w:color="000000"/>
              <w:bottom w:val="single" w:sz="4" w:space="0" w:color="000000"/>
              <w:right w:val="single" w:sz="4" w:space="0" w:color="000000"/>
            </w:tcBorders>
            <w:vAlign w:val="center"/>
          </w:tcPr>
          <w:p w:rsidR="007D395D" w:rsidRPr="00154FEA" w:rsidRDefault="007D395D" w:rsidP="00AF70C1">
            <w:pPr>
              <w:spacing w:line="259" w:lineRule="auto"/>
              <w:ind w:right="52"/>
              <w:jc w:val="center"/>
              <w:rPr>
                <w:sz w:val="20"/>
                <w:szCs w:val="24"/>
              </w:rPr>
            </w:pPr>
            <w:r w:rsidRPr="00154FEA">
              <w:rPr>
                <w:sz w:val="20"/>
                <w:szCs w:val="24"/>
              </w:rPr>
              <w:t xml:space="preserve">Publicity and Marketing </w:t>
            </w:r>
          </w:p>
        </w:tc>
        <w:tc>
          <w:tcPr>
            <w:tcW w:w="5930" w:type="dxa"/>
            <w:tcBorders>
              <w:top w:val="single" w:sz="4" w:space="0" w:color="000000"/>
              <w:left w:val="single" w:sz="4" w:space="0" w:color="000000"/>
              <w:bottom w:val="single" w:sz="4" w:space="0" w:color="000000"/>
              <w:right w:val="single" w:sz="4" w:space="0" w:color="000000"/>
            </w:tcBorders>
          </w:tcPr>
          <w:p w:rsidR="007D395D" w:rsidRPr="00154FEA" w:rsidRDefault="007D395D" w:rsidP="00AF70C1">
            <w:pPr>
              <w:spacing w:line="259" w:lineRule="auto"/>
              <w:ind w:left="360" w:hanging="360"/>
              <w:rPr>
                <w:sz w:val="20"/>
                <w:szCs w:val="24"/>
              </w:rPr>
            </w:pPr>
            <w:r w:rsidRPr="00154FEA">
              <w:rPr>
                <w:rFonts w:ascii="Segoe UI Symbol" w:eastAsia="Segoe UI Symbol" w:hAnsi="Segoe UI Symbol" w:cs="Segoe UI Symbol"/>
                <w:sz w:val="20"/>
                <w:szCs w:val="24"/>
              </w:rPr>
              <w:t>•</w:t>
            </w:r>
            <w:r w:rsidRPr="00154FEA">
              <w:rPr>
                <w:sz w:val="20"/>
                <w:szCs w:val="24"/>
              </w:rPr>
              <w:t xml:space="preserve"> Third party only e.g., hourly rate and number of full-time equivalents used to calculate the cost. </w:t>
            </w:r>
          </w:p>
        </w:tc>
      </w:tr>
      <w:tr w:rsidR="007D395D" w:rsidRPr="00154FEA" w:rsidTr="00154FEA">
        <w:trPr>
          <w:trHeight w:val="744"/>
        </w:trPr>
        <w:tc>
          <w:tcPr>
            <w:tcW w:w="3001" w:type="dxa"/>
            <w:tcBorders>
              <w:top w:val="single" w:sz="4" w:space="0" w:color="000000"/>
              <w:left w:val="single" w:sz="4" w:space="0" w:color="000000"/>
              <w:bottom w:val="single" w:sz="4" w:space="0" w:color="000000"/>
              <w:right w:val="single" w:sz="4" w:space="0" w:color="000000"/>
            </w:tcBorders>
            <w:vAlign w:val="center"/>
          </w:tcPr>
          <w:p w:rsidR="007D395D" w:rsidRPr="00154FEA" w:rsidRDefault="007D395D" w:rsidP="00AF70C1">
            <w:pPr>
              <w:spacing w:line="259" w:lineRule="auto"/>
              <w:ind w:right="48"/>
              <w:jc w:val="center"/>
              <w:rPr>
                <w:sz w:val="20"/>
                <w:szCs w:val="24"/>
              </w:rPr>
            </w:pPr>
            <w:r w:rsidRPr="00154FEA">
              <w:rPr>
                <w:sz w:val="20"/>
                <w:szCs w:val="24"/>
              </w:rPr>
              <w:t xml:space="preserve">Merchandising </w:t>
            </w:r>
          </w:p>
        </w:tc>
        <w:tc>
          <w:tcPr>
            <w:tcW w:w="5930" w:type="dxa"/>
            <w:tcBorders>
              <w:top w:val="single" w:sz="4" w:space="0" w:color="000000"/>
              <w:left w:val="single" w:sz="4" w:space="0" w:color="000000"/>
              <w:bottom w:val="single" w:sz="4" w:space="0" w:color="000000"/>
              <w:right w:val="single" w:sz="4" w:space="0" w:color="000000"/>
            </w:tcBorders>
          </w:tcPr>
          <w:p w:rsidR="007D395D" w:rsidRPr="00154FEA" w:rsidRDefault="007D395D" w:rsidP="00AF70C1">
            <w:pPr>
              <w:spacing w:line="259" w:lineRule="auto"/>
              <w:ind w:left="360" w:right="33" w:hanging="360"/>
              <w:rPr>
                <w:sz w:val="20"/>
                <w:szCs w:val="24"/>
              </w:rPr>
            </w:pPr>
            <w:r w:rsidRPr="00154FEA">
              <w:rPr>
                <w:rFonts w:ascii="Segoe UI Symbol" w:eastAsia="Segoe UI Symbol" w:hAnsi="Segoe UI Symbol" w:cs="Segoe UI Symbol"/>
                <w:sz w:val="20"/>
                <w:szCs w:val="24"/>
              </w:rPr>
              <w:t>•</w:t>
            </w:r>
            <w:r w:rsidRPr="00154FEA">
              <w:rPr>
                <w:sz w:val="20"/>
                <w:szCs w:val="24"/>
              </w:rPr>
              <w:t xml:space="preserve"> For more information, please refer to </w:t>
            </w:r>
            <w:hyperlink r:id="rId8">
              <w:r w:rsidRPr="00154FEA">
                <w:rPr>
                  <w:sz w:val="20"/>
                  <w:szCs w:val="24"/>
                </w:rPr>
                <w:t>brand guidelines</w:t>
              </w:r>
            </w:hyperlink>
            <w:hyperlink r:id="rId9">
              <w:r w:rsidRPr="00154FEA">
                <w:rPr>
                  <w:sz w:val="20"/>
                  <w:szCs w:val="24"/>
                </w:rPr>
                <w:t xml:space="preserve"> </w:t>
              </w:r>
            </w:hyperlink>
            <w:r w:rsidRPr="00154FEA">
              <w:rPr>
                <w:sz w:val="20"/>
                <w:szCs w:val="24"/>
              </w:rPr>
              <w:t xml:space="preserve">for eligible costs/activities, and the ineligible costs section below. </w:t>
            </w:r>
          </w:p>
        </w:tc>
      </w:tr>
      <w:tr w:rsidR="007D395D" w:rsidRPr="00154FEA" w:rsidTr="00154FEA">
        <w:trPr>
          <w:trHeight w:val="756"/>
        </w:trPr>
        <w:tc>
          <w:tcPr>
            <w:tcW w:w="3001" w:type="dxa"/>
            <w:tcBorders>
              <w:top w:val="single" w:sz="4" w:space="0" w:color="000000"/>
              <w:left w:val="single" w:sz="4" w:space="0" w:color="000000"/>
              <w:bottom w:val="single" w:sz="4" w:space="0" w:color="000000"/>
              <w:right w:val="single" w:sz="4" w:space="0" w:color="000000"/>
            </w:tcBorders>
            <w:vAlign w:val="center"/>
          </w:tcPr>
          <w:p w:rsidR="007D395D" w:rsidRPr="00154FEA" w:rsidRDefault="007D395D" w:rsidP="00AF70C1">
            <w:pPr>
              <w:spacing w:line="259" w:lineRule="auto"/>
              <w:ind w:right="52"/>
              <w:jc w:val="center"/>
              <w:rPr>
                <w:sz w:val="20"/>
                <w:szCs w:val="24"/>
              </w:rPr>
            </w:pPr>
            <w:r w:rsidRPr="00154FEA">
              <w:rPr>
                <w:sz w:val="20"/>
                <w:szCs w:val="24"/>
              </w:rPr>
              <w:t xml:space="preserve">Volunteer Expenses </w:t>
            </w:r>
          </w:p>
        </w:tc>
        <w:tc>
          <w:tcPr>
            <w:tcW w:w="5930" w:type="dxa"/>
            <w:tcBorders>
              <w:top w:val="single" w:sz="4" w:space="0" w:color="000000"/>
              <w:left w:val="single" w:sz="4" w:space="0" w:color="000000"/>
              <w:bottom w:val="single" w:sz="4" w:space="0" w:color="000000"/>
              <w:right w:val="single" w:sz="4" w:space="0" w:color="000000"/>
            </w:tcBorders>
          </w:tcPr>
          <w:p w:rsidR="007D395D" w:rsidRPr="00154FEA" w:rsidRDefault="007D395D" w:rsidP="00AF70C1">
            <w:pPr>
              <w:spacing w:line="259" w:lineRule="auto"/>
              <w:ind w:left="360" w:hanging="360"/>
              <w:rPr>
                <w:sz w:val="20"/>
                <w:szCs w:val="24"/>
              </w:rPr>
            </w:pPr>
            <w:r w:rsidRPr="00154FEA">
              <w:rPr>
                <w:rFonts w:ascii="Segoe UI Symbol" w:eastAsia="Segoe UI Symbol" w:hAnsi="Segoe UI Symbol" w:cs="Segoe UI Symbol"/>
                <w:sz w:val="20"/>
                <w:szCs w:val="24"/>
              </w:rPr>
              <w:t>•</w:t>
            </w:r>
            <w:r w:rsidRPr="00154FEA">
              <w:rPr>
                <w:sz w:val="20"/>
                <w:szCs w:val="24"/>
              </w:rPr>
              <w:t xml:space="preserve"> Based on organisation’s volunteer policy and must be verifiable e.g., by signed receipts. </w:t>
            </w:r>
          </w:p>
        </w:tc>
      </w:tr>
      <w:tr w:rsidR="007D395D" w:rsidRPr="00154FEA" w:rsidTr="00154FEA">
        <w:trPr>
          <w:trHeight w:val="744"/>
        </w:trPr>
        <w:tc>
          <w:tcPr>
            <w:tcW w:w="3001" w:type="dxa"/>
            <w:tcBorders>
              <w:top w:val="single" w:sz="4" w:space="0" w:color="000000"/>
              <w:left w:val="single" w:sz="4" w:space="0" w:color="000000"/>
              <w:bottom w:val="single" w:sz="4" w:space="0" w:color="000000"/>
              <w:right w:val="single" w:sz="4" w:space="0" w:color="000000"/>
            </w:tcBorders>
            <w:vAlign w:val="center"/>
          </w:tcPr>
          <w:p w:rsidR="007D395D" w:rsidRPr="00154FEA" w:rsidRDefault="007D395D" w:rsidP="00AF70C1">
            <w:pPr>
              <w:spacing w:line="259" w:lineRule="auto"/>
              <w:ind w:right="48"/>
              <w:jc w:val="center"/>
              <w:rPr>
                <w:sz w:val="20"/>
                <w:szCs w:val="24"/>
              </w:rPr>
            </w:pPr>
            <w:r w:rsidRPr="00154FEA">
              <w:rPr>
                <w:sz w:val="20"/>
                <w:szCs w:val="24"/>
              </w:rPr>
              <w:lastRenderedPageBreak/>
              <w:t xml:space="preserve">Equipment </w:t>
            </w:r>
          </w:p>
        </w:tc>
        <w:tc>
          <w:tcPr>
            <w:tcW w:w="5930" w:type="dxa"/>
            <w:tcBorders>
              <w:top w:val="single" w:sz="4" w:space="0" w:color="000000"/>
              <w:left w:val="single" w:sz="4" w:space="0" w:color="000000"/>
              <w:bottom w:val="single" w:sz="4" w:space="0" w:color="000000"/>
              <w:right w:val="single" w:sz="4" w:space="0" w:color="000000"/>
            </w:tcBorders>
          </w:tcPr>
          <w:p w:rsidR="007D395D" w:rsidRPr="00154FEA" w:rsidRDefault="007D395D" w:rsidP="00AF70C1">
            <w:pPr>
              <w:spacing w:line="259" w:lineRule="auto"/>
              <w:ind w:left="360" w:hanging="360"/>
              <w:rPr>
                <w:sz w:val="20"/>
                <w:szCs w:val="24"/>
              </w:rPr>
            </w:pPr>
            <w:r w:rsidRPr="00154FEA">
              <w:rPr>
                <w:rFonts w:ascii="Segoe UI Symbol" w:eastAsia="Segoe UI Symbol" w:hAnsi="Segoe UI Symbol" w:cs="Segoe UI Symbol"/>
                <w:sz w:val="20"/>
                <w:szCs w:val="24"/>
              </w:rPr>
              <w:t>•</w:t>
            </w:r>
            <w:r w:rsidRPr="00154FEA">
              <w:rPr>
                <w:sz w:val="20"/>
                <w:szCs w:val="24"/>
              </w:rPr>
              <w:t xml:space="preserve"> Third party costs and verifiable which is essential for the delivery of the action. e.g., sports, playground, library, cooking </w:t>
            </w:r>
            <w:proofErr w:type="spellStart"/>
            <w:r w:rsidRPr="00154FEA">
              <w:rPr>
                <w:sz w:val="20"/>
                <w:szCs w:val="24"/>
              </w:rPr>
              <w:t>etc</w:t>
            </w:r>
            <w:proofErr w:type="spellEnd"/>
            <w:r w:rsidRPr="00154FEA">
              <w:rPr>
                <w:sz w:val="20"/>
                <w:szCs w:val="24"/>
              </w:rPr>
              <w:t xml:space="preserve"> </w:t>
            </w:r>
          </w:p>
        </w:tc>
      </w:tr>
      <w:tr w:rsidR="007D395D" w:rsidRPr="00154FEA" w:rsidTr="00154FEA">
        <w:trPr>
          <w:trHeight w:val="1088"/>
        </w:trPr>
        <w:tc>
          <w:tcPr>
            <w:tcW w:w="3001" w:type="dxa"/>
            <w:tcBorders>
              <w:top w:val="single" w:sz="4" w:space="0" w:color="000000"/>
              <w:left w:val="single" w:sz="4" w:space="0" w:color="000000"/>
              <w:bottom w:val="single" w:sz="4" w:space="0" w:color="000000"/>
              <w:right w:val="single" w:sz="4" w:space="0" w:color="000000"/>
            </w:tcBorders>
            <w:vAlign w:val="center"/>
          </w:tcPr>
          <w:p w:rsidR="007D395D" w:rsidRPr="00154FEA" w:rsidRDefault="007D395D" w:rsidP="00AF70C1">
            <w:pPr>
              <w:spacing w:line="259" w:lineRule="auto"/>
              <w:jc w:val="center"/>
              <w:rPr>
                <w:sz w:val="20"/>
                <w:szCs w:val="24"/>
              </w:rPr>
            </w:pPr>
            <w:r w:rsidRPr="00154FEA">
              <w:rPr>
                <w:sz w:val="20"/>
                <w:szCs w:val="24"/>
              </w:rPr>
              <w:t xml:space="preserve">Material aids for participation in sport or physical activity </w:t>
            </w:r>
          </w:p>
        </w:tc>
        <w:tc>
          <w:tcPr>
            <w:tcW w:w="5930" w:type="dxa"/>
            <w:tcBorders>
              <w:top w:val="single" w:sz="4" w:space="0" w:color="000000"/>
              <w:left w:val="single" w:sz="4" w:space="0" w:color="000000"/>
              <w:bottom w:val="single" w:sz="4" w:space="0" w:color="000000"/>
              <w:right w:val="single" w:sz="4" w:space="0" w:color="000000"/>
            </w:tcBorders>
          </w:tcPr>
          <w:p w:rsidR="007D395D" w:rsidRPr="00154FEA" w:rsidRDefault="007D395D" w:rsidP="00AF70C1">
            <w:pPr>
              <w:spacing w:line="259" w:lineRule="auto"/>
              <w:ind w:left="360" w:hanging="360"/>
              <w:rPr>
                <w:sz w:val="20"/>
                <w:szCs w:val="24"/>
              </w:rPr>
            </w:pPr>
            <w:r w:rsidRPr="00154FEA">
              <w:rPr>
                <w:rFonts w:ascii="Segoe UI Symbol" w:eastAsia="Segoe UI Symbol" w:hAnsi="Segoe UI Symbol" w:cs="Segoe UI Symbol"/>
                <w:sz w:val="20"/>
                <w:szCs w:val="24"/>
              </w:rPr>
              <w:t>•</w:t>
            </w:r>
            <w:r w:rsidRPr="00154FEA">
              <w:rPr>
                <w:sz w:val="20"/>
                <w:szCs w:val="24"/>
              </w:rPr>
              <w:t xml:space="preserve"> Third party costs and verifiable which is essential for the delivery of the action. e.g., sports, playground, library, cooking </w:t>
            </w:r>
            <w:proofErr w:type="spellStart"/>
            <w:r w:rsidRPr="00154FEA">
              <w:rPr>
                <w:sz w:val="20"/>
                <w:szCs w:val="24"/>
              </w:rPr>
              <w:t>etc</w:t>
            </w:r>
            <w:proofErr w:type="spellEnd"/>
            <w:r w:rsidRPr="00154FEA">
              <w:rPr>
                <w:sz w:val="20"/>
                <w:szCs w:val="24"/>
              </w:rPr>
              <w:t xml:space="preserve"> </w:t>
            </w:r>
          </w:p>
        </w:tc>
      </w:tr>
      <w:tr w:rsidR="007D395D" w:rsidRPr="00154FEA" w:rsidTr="00154FEA">
        <w:trPr>
          <w:trHeight w:val="1771"/>
        </w:trPr>
        <w:tc>
          <w:tcPr>
            <w:tcW w:w="3001" w:type="dxa"/>
            <w:tcBorders>
              <w:top w:val="single" w:sz="4" w:space="0" w:color="000000"/>
              <w:left w:val="single" w:sz="4" w:space="0" w:color="000000"/>
              <w:bottom w:val="single" w:sz="4" w:space="0" w:color="000000"/>
              <w:right w:val="single" w:sz="4" w:space="0" w:color="000000"/>
            </w:tcBorders>
          </w:tcPr>
          <w:p w:rsidR="007D395D" w:rsidRPr="00154FEA" w:rsidRDefault="007D395D" w:rsidP="00AF70C1">
            <w:pPr>
              <w:spacing w:line="259" w:lineRule="auto"/>
              <w:ind w:right="49"/>
              <w:jc w:val="center"/>
              <w:rPr>
                <w:sz w:val="20"/>
                <w:szCs w:val="24"/>
              </w:rPr>
            </w:pPr>
            <w:r w:rsidRPr="00154FEA">
              <w:rPr>
                <w:sz w:val="20"/>
                <w:szCs w:val="24"/>
              </w:rPr>
              <w:t xml:space="preserve">Researchers </w:t>
            </w:r>
          </w:p>
        </w:tc>
        <w:tc>
          <w:tcPr>
            <w:tcW w:w="5930" w:type="dxa"/>
            <w:tcBorders>
              <w:top w:val="single" w:sz="4" w:space="0" w:color="000000"/>
              <w:left w:val="single" w:sz="4" w:space="0" w:color="000000"/>
              <w:bottom w:val="single" w:sz="4" w:space="0" w:color="000000"/>
              <w:right w:val="single" w:sz="4" w:space="0" w:color="000000"/>
            </w:tcBorders>
          </w:tcPr>
          <w:p w:rsidR="007D395D" w:rsidRPr="00154FEA" w:rsidRDefault="007D395D" w:rsidP="007D395D">
            <w:pPr>
              <w:numPr>
                <w:ilvl w:val="0"/>
                <w:numId w:val="4"/>
              </w:numPr>
              <w:spacing w:after="15" w:line="242" w:lineRule="auto"/>
              <w:ind w:hanging="360"/>
              <w:rPr>
                <w:sz w:val="20"/>
                <w:szCs w:val="24"/>
              </w:rPr>
            </w:pPr>
            <w:r w:rsidRPr="00154FEA">
              <w:rPr>
                <w:sz w:val="20"/>
                <w:szCs w:val="24"/>
              </w:rPr>
              <w:t xml:space="preserve">E.g., hourly rate and number of full-time equivalents used to calculate the cost.  </w:t>
            </w:r>
          </w:p>
          <w:p w:rsidR="007D395D" w:rsidRPr="00154FEA" w:rsidRDefault="007D395D" w:rsidP="007D395D">
            <w:pPr>
              <w:numPr>
                <w:ilvl w:val="0"/>
                <w:numId w:val="4"/>
              </w:numPr>
              <w:spacing w:after="15" w:line="242" w:lineRule="auto"/>
              <w:ind w:hanging="360"/>
              <w:rPr>
                <w:sz w:val="20"/>
                <w:szCs w:val="24"/>
              </w:rPr>
            </w:pPr>
            <w:r w:rsidRPr="00154FEA">
              <w:rPr>
                <w:sz w:val="20"/>
                <w:szCs w:val="24"/>
              </w:rPr>
              <w:t xml:space="preserve">Research proposals require a good governance framework to be in place i.e., HSE Research Governance Framework.  </w:t>
            </w:r>
          </w:p>
          <w:p w:rsidR="007D395D" w:rsidRPr="00154FEA" w:rsidRDefault="007D395D" w:rsidP="007D395D">
            <w:pPr>
              <w:numPr>
                <w:ilvl w:val="0"/>
                <w:numId w:val="4"/>
              </w:numPr>
              <w:spacing w:line="259" w:lineRule="auto"/>
              <w:ind w:hanging="360"/>
              <w:rPr>
                <w:sz w:val="20"/>
                <w:szCs w:val="24"/>
              </w:rPr>
            </w:pPr>
            <w:r w:rsidRPr="00154FEA">
              <w:rPr>
                <w:sz w:val="20"/>
                <w:szCs w:val="24"/>
              </w:rPr>
              <w:t xml:space="preserve">Research must not represent duplication of existing HIF resources. </w:t>
            </w:r>
          </w:p>
        </w:tc>
      </w:tr>
      <w:tr w:rsidR="00154FEA" w:rsidRPr="00154FEA" w:rsidTr="00154FEA">
        <w:trPr>
          <w:trHeight w:val="1178"/>
        </w:trPr>
        <w:tc>
          <w:tcPr>
            <w:tcW w:w="3001" w:type="dxa"/>
            <w:tcBorders>
              <w:top w:val="single" w:sz="4" w:space="0" w:color="000000"/>
              <w:left w:val="single" w:sz="4" w:space="0" w:color="000000"/>
              <w:bottom w:val="single" w:sz="4" w:space="0" w:color="000000"/>
              <w:right w:val="single" w:sz="4" w:space="0" w:color="000000"/>
            </w:tcBorders>
          </w:tcPr>
          <w:p w:rsidR="00154FEA" w:rsidRPr="00154FEA" w:rsidRDefault="00154FEA" w:rsidP="00A21B91">
            <w:pPr>
              <w:spacing w:line="259" w:lineRule="auto"/>
              <w:ind w:right="50"/>
              <w:jc w:val="center"/>
              <w:rPr>
                <w:sz w:val="20"/>
                <w:szCs w:val="24"/>
              </w:rPr>
            </w:pPr>
            <w:r w:rsidRPr="00154FEA">
              <w:rPr>
                <w:sz w:val="20"/>
                <w:szCs w:val="24"/>
              </w:rPr>
              <w:t xml:space="preserve">Third party evaluation costs </w:t>
            </w:r>
          </w:p>
        </w:tc>
        <w:tc>
          <w:tcPr>
            <w:tcW w:w="5930" w:type="dxa"/>
            <w:tcBorders>
              <w:top w:val="single" w:sz="4" w:space="0" w:color="000000"/>
              <w:left w:val="single" w:sz="4" w:space="0" w:color="000000"/>
              <w:bottom w:val="single" w:sz="4" w:space="0" w:color="000000"/>
              <w:right w:val="single" w:sz="4" w:space="0" w:color="000000"/>
            </w:tcBorders>
          </w:tcPr>
          <w:p w:rsidR="00154FEA" w:rsidRPr="00154FEA" w:rsidRDefault="00154FEA" w:rsidP="00A21B91">
            <w:pPr>
              <w:numPr>
                <w:ilvl w:val="0"/>
                <w:numId w:val="5"/>
              </w:numPr>
              <w:spacing w:after="13" w:line="242" w:lineRule="auto"/>
              <w:ind w:hanging="360"/>
              <w:rPr>
                <w:sz w:val="20"/>
                <w:szCs w:val="24"/>
              </w:rPr>
            </w:pPr>
            <w:r w:rsidRPr="00154FEA">
              <w:rPr>
                <w:sz w:val="20"/>
                <w:szCs w:val="24"/>
              </w:rPr>
              <w:t xml:space="preserve">These costs are directly related to evaluating the activities outlined in the grant agreement.  </w:t>
            </w:r>
          </w:p>
          <w:p w:rsidR="00154FEA" w:rsidRPr="00154FEA" w:rsidRDefault="00154FEA" w:rsidP="00A21B91">
            <w:pPr>
              <w:numPr>
                <w:ilvl w:val="0"/>
                <w:numId w:val="5"/>
              </w:numPr>
              <w:spacing w:line="259" w:lineRule="auto"/>
              <w:ind w:hanging="360"/>
              <w:rPr>
                <w:sz w:val="20"/>
                <w:szCs w:val="24"/>
              </w:rPr>
            </w:pPr>
            <w:r w:rsidRPr="00154FEA">
              <w:rPr>
                <w:sz w:val="20"/>
                <w:szCs w:val="24"/>
              </w:rPr>
              <w:t xml:space="preserve">Any costs relating to evaluation must be proportionate to the level of funding </w:t>
            </w:r>
          </w:p>
        </w:tc>
      </w:tr>
    </w:tbl>
    <w:p w:rsidR="007D395D" w:rsidRPr="0064254D" w:rsidRDefault="007D395D" w:rsidP="003976D5">
      <w:pPr>
        <w:rPr>
          <w:sz w:val="24"/>
          <w:szCs w:val="24"/>
        </w:rPr>
      </w:pPr>
    </w:p>
    <w:p w:rsidR="007D44C3" w:rsidRPr="00154FEA" w:rsidRDefault="007D44C3" w:rsidP="003976D5">
      <w:pPr>
        <w:rPr>
          <w:sz w:val="20"/>
          <w:szCs w:val="24"/>
        </w:rPr>
      </w:pPr>
    </w:p>
    <w:tbl>
      <w:tblPr>
        <w:tblStyle w:val="TableGrid"/>
        <w:tblW w:w="9018" w:type="dxa"/>
        <w:tblInd w:w="5" w:type="dxa"/>
        <w:tblCellMar>
          <w:top w:w="10" w:type="dxa"/>
          <w:right w:w="138" w:type="dxa"/>
        </w:tblCellMar>
        <w:tblLook w:val="04A0" w:firstRow="1" w:lastRow="0" w:firstColumn="1" w:lastColumn="0" w:noHBand="0" w:noVBand="1"/>
      </w:tblPr>
      <w:tblGrid>
        <w:gridCol w:w="468"/>
        <w:gridCol w:w="8550"/>
      </w:tblGrid>
      <w:tr w:rsidR="007D395D" w:rsidRPr="0064254D" w:rsidTr="003976D5">
        <w:trPr>
          <w:trHeight w:val="567"/>
        </w:trPr>
        <w:tc>
          <w:tcPr>
            <w:tcW w:w="468" w:type="dxa"/>
            <w:tcBorders>
              <w:top w:val="single" w:sz="4" w:space="0" w:color="000000"/>
              <w:left w:val="single" w:sz="4" w:space="0" w:color="000000"/>
              <w:bottom w:val="single" w:sz="4" w:space="0" w:color="000000"/>
              <w:right w:val="nil"/>
            </w:tcBorders>
          </w:tcPr>
          <w:p w:rsidR="007D395D" w:rsidRPr="0064254D" w:rsidRDefault="007D395D" w:rsidP="00AF70C1">
            <w:pPr>
              <w:spacing w:after="160" w:line="259" w:lineRule="auto"/>
              <w:rPr>
                <w:sz w:val="24"/>
                <w:szCs w:val="24"/>
              </w:rPr>
            </w:pPr>
          </w:p>
        </w:tc>
        <w:tc>
          <w:tcPr>
            <w:tcW w:w="8550" w:type="dxa"/>
            <w:tcBorders>
              <w:top w:val="single" w:sz="4" w:space="0" w:color="000000"/>
              <w:left w:val="nil"/>
              <w:bottom w:val="single" w:sz="4" w:space="0" w:color="000000"/>
              <w:right w:val="single" w:sz="4" w:space="0" w:color="000000"/>
            </w:tcBorders>
          </w:tcPr>
          <w:p w:rsidR="007D395D" w:rsidRPr="0064254D" w:rsidRDefault="007D395D" w:rsidP="007A0688">
            <w:pPr>
              <w:spacing w:after="160" w:line="259" w:lineRule="auto"/>
              <w:ind w:left="45"/>
              <w:jc w:val="center"/>
              <w:rPr>
                <w:sz w:val="24"/>
                <w:szCs w:val="24"/>
              </w:rPr>
            </w:pPr>
            <w:r w:rsidRPr="007A0688">
              <w:rPr>
                <w:rFonts w:eastAsiaTheme="minorHAnsi"/>
                <w:b/>
                <w:sz w:val="24"/>
                <w:szCs w:val="24"/>
              </w:rPr>
              <w:t>Ineligible Project Costs</w:t>
            </w:r>
            <w:r w:rsidRPr="007A0688">
              <w:rPr>
                <w:rFonts w:ascii="Arial" w:eastAsia="Arial" w:hAnsi="Arial" w:cs="Arial"/>
                <w:b/>
                <w:sz w:val="32"/>
                <w:szCs w:val="24"/>
              </w:rPr>
              <w:t xml:space="preserve"> </w:t>
            </w:r>
          </w:p>
        </w:tc>
      </w:tr>
      <w:tr w:rsidR="007D395D" w:rsidRPr="0064254D" w:rsidTr="00AF70C1">
        <w:trPr>
          <w:trHeight w:val="294"/>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Social Prescribing. </w:t>
            </w:r>
          </w:p>
        </w:tc>
      </w:tr>
      <w:tr w:rsidR="007D395D" w:rsidRPr="0064254D" w:rsidTr="00AF70C1">
        <w:trPr>
          <w:trHeight w:val="314"/>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Recruitment costs. </w:t>
            </w:r>
          </w:p>
        </w:tc>
      </w:tr>
      <w:tr w:rsidR="007D395D" w:rsidRPr="0064254D" w:rsidTr="00AF70C1">
        <w:trPr>
          <w:trHeight w:val="545"/>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Costs associated with the grantee’s own facilities e.g., meeting room(s), photocopier.  </w:t>
            </w:r>
          </w:p>
        </w:tc>
      </w:tr>
      <w:tr w:rsidR="007D395D" w:rsidRPr="0064254D" w:rsidTr="00AF70C1">
        <w:trPr>
          <w:trHeight w:val="293"/>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Retrospective costs i.e., expenditure incurred before funding is approved.  </w:t>
            </w:r>
          </w:p>
        </w:tc>
      </w:tr>
      <w:tr w:rsidR="007D395D" w:rsidRPr="0064254D" w:rsidTr="00AF70C1">
        <w:trPr>
          <w:trHeight w:val="293"/>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VAT costs (where the VAT costs can be re-claimed from Revenue)  </w:t>
            </w:r>
          </w:p>
        </w:tc>
      </w:tr>
      <w:tr w:rsidR="007D395D" w:rsidRPr="0064254D" w:rsidTr="00AF70C1">
        <w:trPr>
          <w:trHeight w:val="567"/>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Bank charges such as interest costs, fines, financial penalties, and legal dispute costs  </w:t>
            </w:r>
          </w:p>
        </w:tc>
      </w:tr>
      <w:tr w:rsidR="007D395D" w:rsidRPr="0064254D" w:rsidTr="00AF70C1">
        <w:trPr>
          <w:trHeight w:val="293"/>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Funds to build up reserves or a surplus.  </w:t>
            </w:r>
          </w:p>
        </w:tc>
      </w:tr>
      <w:tr w:rsidR="007D395D" w:rsidRPr="0064254D" w:rsidTr="00AF70C1">
        <w:trPr>
          <w:trHeight w:val="293"/>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Sponsorship and charitable donations  </w:t>
            </w:r>
          </w:p>
        </w:tc>
      </w:tr>
      <w:tr w:rsidR="007D395D" w:rsidRPr="0064254D" w:rsidTr="00AF70C1">
        <w:trPr>
          <w:trHeight w:val="568"/>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Vehicles or other mobile assets not directly linked to eligible activities. This includes the costs associated with the procurement of such items.  </w:t>
            </w:r>
          </w:p>
        </w:tc>
      </w:tr>
      <w:tr w:rsidR="007D395D" w:rsidRPr="0064254D" w:rsidTr="00AF70C1">
        <w:trPr>
          <w:trHeight w:val="568"/>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The purchase of land, buildings and/or large-scale refurbishment of buildings including schools  </w:t>
            </w:r>
          </w:p>
        </w:tc>
      </w:tr>
      <w:tr w:rsidR="007D395D" w:rsidRPr="0064254D" w:rsidTr="00AF70C1">
        <w:trPr>
          <w:trHeight w:val="293"/>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Routine repairs and maintenance of buildings  </w:t>
            </w:r>
          </w:p>
        </w:tc>
      </w:tr>
      <w:tr w:rsidR="007D395D" w:rsidRPr="0064254D" w:rsidTr="00AF70C1">
        <w:trPr>
          <w:trHeight w:val="568"/>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Single use plastics as part of merchandising costs such as forks, balloons, and straws  </w:t>
            </w:r>
          </w:p>
        </w:tc>
      </w:tr>
      <w:tr w:rsidR="007D395D" w:rsidRPr="0064254D" w:rsidTr="00AF70C1">
        <w:trPr>
          <w:trHeight w:val="569"/>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lastRenderedPageBreak/>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Notional costs or opportunity costs i.e., all costs must be real costs that are paid out to a third party.  </w:t>
            </w:r>
          </w:p>
        </w:tc>
      </w:tr>
      <w:tr w:rsidR="007D395D" w:rsidRPr="0064254D" w:rsidTr="00AF70C1">
        <w:trPr>
          <w:trHeight w:val="293"/>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Staffing costs not associated with the project proposal.  </w:t>
            </w:r>
          </w:p>
        </w:tc>
      </w:tr>
      <w:tr w:rsidR="007D395D" w:rsidRPr="0064254D" w:rsidTr="00AF70C1">
        <w:trPr>
          <w:trHeight w:val="567"/>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Costs for staff, actions, equipment, and programmes already supported by statutory and public funding.  </w:t>
            </w:r>
          </w:p>
        </w:tc>
      </w:tr>
      <w:tr w:rsidR="007D395D" w:rsidRPr="0064254D" w:rsidTr="00AF70C1">
        <w:trPr>
          <w:trHeight w:val="294"/>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Existing rental costs or space costs  </w:t>
            </w:r>
          </w:p>
        </w:tc>
      </w:tr>
      <w:tr w:rsidR="007D395D" w:rsidRPr="0064254D" w:rsidTr="00AF70C1">
        <w:trPr>
          <w:trHeight w:val="292"/>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Redundancy costs  </w:t>
            </w:r>
          </w:p>
        </w:tc>
      </w:tr>
      <w:tr w:rsidR="007D395D" w:rsidRPr="0064254D" w:rsidTr="00AF70C1">
        <w:trPr>
          <w:trHeight w:val="566"/>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In-kind contributions: all costs must represent real costs that are paid out to a third party.  </w:t>
            </w:r>
          </w:p>
        </w:tc>
      </w:tr>
      <w:tr w:rsidR="007D395D" w:rsidRPr="0064254D" w:rsidTr="00AF70C1">
        <w:trPr>
          <w:trHeight w:val="294"/>
        </w:trPr>
        <w:tc>
          <w:tcPr>
            <w:tcW w:w="468" w:type="dxa"/>
            <w:tcBorders>
              <w:top w:val="nil"/>
              <w:left w:val="single" w:sz="4" w:space="0" w:color="000000"/>
              <w:bottom w:val="nil"/>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nil"/>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Depreciation of fixed assets </w:t>
            </w:r>
          </w:p>
        </w:tc>
      </w:tr>
      <w:tr w:rsidR="007D395D" w:rsidRPr="0064254D" w:rsidTr="00AF70C1">
        <w:trPr>
          <w:trHeight w:val="284"/>
        </w:trPr>
        <w:tc>
          <w:tcPr>
            <w:tcW w:w="468" w:type="dxa"/>
            <w:tcBorders>
              <w:top w:val="nil"/>
              <w:left w:val="single" w:sz="4" w:space="0" w:color="000000"/>
              <w:bottom w:val="single" w:sz="4" w:space="0" w:color="000000"/>
              <w:right w:val="nil"/>
            </w:tcBorders>
          </w:tcPr>
          <w:p w:rsidR="007D395D" w:rsidRPr="0064254D" w:rsidRDefault="007D395D" w:rsidP="00AF70C1">
            <w:pPr>
              <w:spacing w:line="259" w:lineRule="auto"/>
              <w:ind w:left="108"/>
              <w:rPr>
                <w:sz w:val="24"/>
                <w:szCs w:val="24"/>
              </w:rPr>
            </w:pPr>
            <w:r w:rsidRPr="0064254D">
              <w:rPr>
                <w:rFonts w:ascii="Segoe UI Symbol" w:eastAsia="Segoe UI Symbol" w:hAnsi="Segoe UI Symbol" w:cs="Segoe UI Symbol"/>
                <w:sz w:val="24"/>
                <w:szCs w:val="24"/>
              </w:rPr>
              <w:t>•</w:t>
            </w:r>
            <w:r w:rsidRPr="0064254D">
              <w:rPr>
                <w:sz w:val="24"/>
                <w:szCs w:val="24"/>
              </w:rPr>
              <w:t xml:space="preserve"> </w:t>
            </w:r>
          </w:p>
        </w:tc>
        <w:tc>
          <w:tcPr>
            <w:tcW w:w="8550" w:type="dxa"/>
            <w:tcBorders>
              <w:top w:val="nil"/>
              <w:left w:val="nil"/>
              <w:bottom w:val="single" w:sz="4" w:space="0" w:color="000000"/>
              <w:right w:val="single" w:sz="4" w:space="0" w:color="000000"/>
            </w:tcBorders>
          </w:tcPr>
          <w:p w:rsidR="007D395D" w:rsidRPr="0064254D" w:rsidRDefault="007D395D" w:rsidP="00AF70C1">
            <w:pPr>
              <w:spacing w:line="259" w:lineRule="auto"/>
              <w:rPr>
                <w:sz w:val="24"/>
                <w:szCs w:val="24"/>
              </w:rPr>
            </w:pPr>
            <w:r w:rsidRPr="0064254D">
              <w:rPr>
                <w:sz w:val="24"/>
                <w:szCs w:val="24"/>
              </w:rPr>
              <w:t xml:space="preserve">Vouchers e.g., gift vouchers </w:t>
            </w:r>
          </w:p>
        </w:tc>
      </w:tr>
    </w:tbl>
    <w:p w:rsidR="007D395D" w:rsidRPr="0064254D" w:rsidRDefault="007D395D" w:rsidP="003976D5">
      <w:pPr>
        <w:rPr>
          <w:sz w:val="24"/>
          <w:szCs w:val="24"/>
        </w:rPr>
      </w:pPr>
    </w:p>
    <w:p w:rsidR="006D78C3" w:rsidRPr="0064254D" w:rsidRDefault="006D78C3" w:rsidP="003976D5">
      <w:pPr>
        <w:rPr>
          <w:sz w:val="24"/>
          <w:szCs w:val="24"/>
        </w:rPr>
      </w:pPr>
    </w:p>
    <w:p w:rsidR="006D78C3" w:rsidRPr="0064254D" w:rsidRDefault="006D78C3" w:rsidP="003976D5">
      <w:pPr>
        <w:rPr>
          <w:sz w:val="24"/>
          <w:szCs w:val="24"/>
        </w:rPr>
      </w:pPr>
    </w:p>
    <w:p w:rsidR="006D78C3" w:rsidRPr="0064254D" w:rsidRDefault="006D78C3" w:rsidP="003976D5">
      <w:pPr>
        <w:rPr>
          <w:sz w:val="24"/>
          <w:szCs w:val="24"/>
        </w:rPr>
      </w:pPr>
    </w:p>
    <w:sectPr w:rsidR="006D78C3" w:rsidRPr="0064254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99E" w:rsidRDefault="00B3599E" w:rsidP="00B3599E">
      <w:pPr>
        <w:spacing w:after="0" w:line="240" w:lineRule="auto"/>
      </w:pPr>
      <w:r>
        <w:separator/>
      </w:r>
    </w:p>
  </w:endnote>
  <w:endnote w:type="continuationSeparator" w:id="0">
    <w:p w:rsidR="00B3599E" w:rsidRDefault="00B3599E" w:rsidP="00B3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99E" w:rsidRPr="00B3599E" w:rsidRDefault="00B3599E" w:rsidP="00B3599E">
    <w:pPr>
      <w:pStyle w:val="Footer"/>
    </w:pPr>
    <w:r>
      <w:rPr>
        <w:noProof/>
        <w:lang w:eastAsia="en-IE"/>
      </w:rPr>
      <w:drawing>
        <wp:inline distT="0" distB="0" distL="0" distR="0" wp14:anchorId="0245B0F1" wp14:editId="613F0864">
          <wp:extent cx="5486400" cy="1514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86400" cy="1514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99E" w:rsidRDefault="00B3599E" w:rsidP="00B3599E">
      <w:pPr>
        <w:spacing w:after="0" w:line="240" w:lineRule="auto"/>
      </w:pPr>
      <w:r>
        <w:separator/>
      </w:r>
    </w:p>
  </w:footnote>
  <w:footnote w:type="continuationSeparator" w:id="0">
    <w:p w:rsidR="00B3599E" w:rsidRDefault="00B3599E" w:rsidP="00B35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99E" w:rsidRDefault="00B3599E" w:rsidP="00B3599E">
    <w:pPr>
      <w:pStyle w:val="Header"/>
      <w:tabs>
        <w:tab w:val="clear" w:pos="4513"/>
        <w:tab w:val="clear" w:pos="9026"/>
        <w:tab w:val="left" w:pos="3975"/>
      </w:tabs>
      <w:jc w:val="center"/>
    </w:pPr>
    <w:r>
      <w:rPr>
        <w:noProof/>
        <w:lang w:eastAsia="en-IE"/>
      </w:rPr>
      <w:drawing>
        <wp:inline distT="0" distB="0" distL="0" distR="0" wp14:anchorId="5A0E72D2">
          <wp:extent cx="2088337" cy="6667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568" cy="67097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0D0B"/>
    <w:multiLevelType w:val="hybridMultilevel"/>
    <w:tmpl w:val="5846F21A"/>
    <w:lvl w:ilvl="0" w:tplc="5174442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8255E1"/>
    <w:multiLevelType w:val="hybridMultilevel"/>
    <w:tmpl w:val="DEF4B662"/>
    <w:lvl w:ilvl="0" w:tplc="0E808D80">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 w15:restartNumberingAfterBreak="0">
    <w:nsid w:val="259D3991"/>
    <w:multiLevelType w:val="hybridMultilevel"/>
    <w:tmpl w:val="6010C14E"/>
    <w:lvl w:ilvl="0" w:tplc="5D5039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68050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D4CA00">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8A05E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0E2BB6">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4AC87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E842B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E810C2">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F4EDC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0F40D8"/>
    <w:multiLevelType w:val="hybridMultilevel"/>
    <w:tmpl w:val="D1F6698A"/>
    <w:lvl w:ilvl="0" w:tplc="36C44A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D2A222">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26F35A">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244EA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748972">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727C0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E0DE7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58D5A6">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34D9BC">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A92DB9"/>
    <w:multiLevelType w:val="hybridMultilevel"/>
    <w:tmpl w:val="B9D6C9E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4E3C0664"/>
    <w:multiLevelType w:val="hybridMultilevel"/>
    <w:tmpl w:val="C28AC0C0"/>
    <w:lvl w:ilvl="0" w:tplc="020E2E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C623C0">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9CDD86">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DA23E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24A304">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3E2FB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626BE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AC8712">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9CDFCC">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254389"/>
    <w:multiLevelType w:val="hybridMultilevel"/>
    <w:tmpl w:val="1CAA1A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72"/>
    <w:rsid w:val="000119F4"/>
    <w:rsid w:val="00146530"/>
    <w:rsid w:val="00154FEA"/>
    <w:rsid w:val="00194394"/>
    <w:rsid w:val="001964CA"/>
    <w:rsid w:val="001B1BD6"/>
    <w:rsid w:val="001B4068"/>
    <w:rsid w:val="0021334E"/>
    <w:rsid w:val="00247F92"/>
    <w:rsid w:val="00282D44"/>
    <w:rsid w:val="003227AA"/>
    <w:rsid w:val="003976D5"/>
    <w:rsid w:val="003A2505"/>
    <w:rsid w:val="004241F4"/>
    <w:rsid w:val="004B0B38"/>
    <w:rsid w:val="005D0647"/>
    <w:rsid w:val="0064254D"/>
    <w:rsid w:val="00660036"/>
    <w:rsid w:val="006A3828"/>
    <w:rsid w:val="006B6084"/>
    <w:rsid w:val="006C79DB"/>
    <w:rsid w:val="006D78C3"/>
    <w:rsid w:val="007A0688"/>
    <w:rsid w:val="007D395D"/>
    <w:rsid w:val="007D44C3"/>
    <w:rsid w:val="007E14D7"/>
    <w:rsid w:val="007F1381"/>
    <w:rsid w:val="008D6072"/>
    <w:rsid w:val="00913FEE"/>
    <w:rsid w:val="00A560F2"/>
    <w:rsid w:val="00A750B6"/>
    <w:rsid w:val="00A90CC5"/>
    <w:rsid w:val="00AB5236"/>
    <w:rsid w:val="00B3599E"/>
    <w:rsid w:val="00B562C2"/>
    <w:rsid w:val="00B60FD4"/>
    <w:rsid w:val="00B8597C"/>
    <w:rsid w:val="00BD7590"/>
    <w:rsid w:val="00BF780D"/>
    <w:rsid w:val="00C84DE8"/>
    <w:rsid w:val="00D111F8"/>
    <w:rsid w:val="00D924ED"/>
    <w:rsid w:val="00DF7AE3"/>
    <w:rsid w:val="00E4529F"/>
    <w:rsid w:val="00E93D33"/>
    <w:rsid w:val="00EE3C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D3FF34"/>
  <w15:chartTrackingRefBased/>
  <w15:docId w15:val="{4B30AD90-B9C4-4D0B-9899-57385E2C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828"/>
    <w:pPr>
      <w:ind w:left="720"/>
      <w:contextualSpacing/>
    </w:pPr>
  </w:style>
  <w:style w:type="character" w:styleId="Hyperlink">
    <w:name w:val="Hyperlink"/>
    <w:basedOn w:val="DefaultParagraphFont"/>
    <w:uiPriority w:val="99"/>
    <w:unhideWhenUsed/>
    <w:rsid w:val="00EE3C76"/>
    <w:rPr>
      <w:color w:val="0563C1" w:themeColor="hyperlink"/>
      <w:u w:val="single"/>
    </w:rPr>
  </w:style>
  <w:style w:type="paragraph" w:styleId="BalloonText">
    <w:name w:val="Balloon Text"/>
    <w:basedOn w:val="Normal"/>
    <w:link w:val="BalloonTextChar"/>
    <w:uiPriority w:val="99"/>
    <w:semiHidden/>
    <w:unhideWhenUsed/>
    <w:rsid w:val="00BF7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80D"/>
    <w:rPr>
      <w:rFonts w:ascii="Segoe UI" w:hAnsi="Segoe UI" w:cs="Segoe UI"/>
      <w:sz w:val="18"/>
      <w:szCs w:val="18"/>
    </w:rPr>
  </w:style>
  <w:style w:type="table" w:customStyle="1" w:styleId="TableGrid">
    <w:name w:val="TableGrid"/>
    <w:rsid w:val="007D395D"/>
    <w:pPr>
      <w:spacing w:after="0" w:line="240" w:lineRule="auto"/>
    </w:pPr>
    <w:rPr>
      <w:rFonts w:eastAsiaTheme="minorEastAsia"/>
      <w:lang w:eastAsia="en-IE"/>
    </w:rPr>
    <w:tblPr>
      <w:tblCellMar>
        <w:top w:w="0" w:type="dxa"/>
        <w:left w:w="0" w:type="dxa"/>
        <w:bottom w:w="0" w:type="dxa"/>
        <w:right w:w="0" w:type="dxa"/>
      </w:tblCellMar>
    </w:tblPr>
  </w:style>
  <w:style w:type="table" w:styleId="TableGrid0">
    <w:name w:val="Table Grid"/>
    <w:basedOn w:val="TableNormal"/>
    <w:uiPriority w:val="39"/>
    <w:rsid w:val="007D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5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99E"/>
  </w:style>
  <w:style w:type="paragraph" w:styleId="Footer">
    <w:name w:val="footer"/>
    <w:basedOn w:val="Normal"/>
    <w:link w:val="FooterChar"/>
    <w:uiPriority w:val="99"/>
    <w:unhideWhenUsed/>
    <w:rsid w:val="00B35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bal.ie/app/uploads/2018/06/Healthy-Ireland-Brand-Guidelin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localgov.ie/case-stud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obal.ie/app/uploads/2018/06/Healthy-Ireland-Brand-Guideline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Roscommon County Council</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Lawless</dc:creator>
  <cp:keywords/>
  <dc:description/>
  <cp:lastModifiedBy>Aisling Dunne</cp:lastModifiedBy>
  <cp:revision>5</cp:revision>
  <cp:lastPrinted>2023-12-08T14:01:00Z</cp:lastPrinted>
  <dcterms:created xsi:type="dcterms:W3CDTF">2024-11-29T16:21:00Z</dcterms:created>
  <dcterms:modified xsi:type="dcterms:W3CDTF">2024-12-02T11:04:00Z</dcterms:modified>
</cp:coreProperties>
</file>